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640CC" w14:textId="77777777" w:rsidR="00AE6ED1"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《西方哲学史（二）下》课程教学大纲</w:t>
      </w:r>
    </w:p>
    <w:p w14:paraId="571AA441" w14:textId="77777777" w:rsidR="00AE6ED1"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E6ED1" w14:paraId="6F2B2673" w14:textId="77777777">
        <w:trPr>
          <w:jc w:val="center"/>
        </w:trPr>
        <w:tc>
          <w:tcPr>
            <w:tcW w:w="1135" w:type="dxa"/>
            <w:vAlign w:val="center"/>
          </w:tcPr>
          <w:p w14:paraId="6F13A67D"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945516F" w14:textId="77777777" w:rsidR="00AE6ED1" w:rsidRDefault="00000000">
            <w:pPr>
              <w:spacing w:beforeLines="50" w:before="156" w:afterLines="50" w:after="156"/>
              <w:jc w:val="center"/>
              <w:rPr>
                <w:rFonts w:ascii="宋体" w:eastAsia="宋体" w:hAnsi="宋体"/>
              </w:rPr>
            </w:pPr>
            <w:r>
              <w:rPr>
                <w:rFonts w:ascii="宋体" w:eastAsia="宋体" w:hAnsi="宋体" w:hint="eastAsia"/>
              </w:rPr>
              <w:t>H</w:t>
            </w:r>
            <w:r>
              <w:rPr>
                <w:rFonts w:ascii="宋体" w:eastAsia="宋体" w:hAnsi="宋体"/>
              </w:rPr>
              <w:t xml:space="preserve">istory of Western Philosophy </w:t>
            </w:r>
            <w:r>
              <w:rPr>
                <w:rFonts w:ascii="宋体" w:eastAsia="宋体" w:hAnsi="宋体" w:hint="eastAsia"/>
              </w:rPr>
              <w:t>II</w:t>
            </w:r>
            <w:r>
              <w:rPr>
                <w:rFonts w:ascii="宋体" w:eastAsia="宋体" w:hAnsi="宋体"/>
              </w:rPr>
              <w:t>-</w:t>
            </w:r>
            <w:r>
              <w:rPr>
                <w:rFonts w:ascii="宋体" w:eastAsia="宋体" w:hAnsi="宋体" w:hint="eastAsia"/>
              </w:rPr>
              <w:t>2</w:t>
            </w:r>
          </w:p>
        </w:tc>
        <w:tc>
          <w:tcPr>
            <w:tcW w:w="1134" w:type="dxa"/>
            <w:vAlign w:val="center"/>
          </w:tcPr>
          <w:p w14:paraId="2D6AE35F"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1041132" w14:textId="77777777" w:rsidR="00AE6ED1" w:rsidRDefault="00000000">
            <w:pPr>
              <w:spacing w:beforeLines="50" w:before="156" w:afterLines="50" w:after="156"/>
              <w:jc w:val="center"/>
              <w:rPr>
                <w:rFonts w:ascii="宋体" w:eastAsia="宋体" w:hAnsi="宋体"/>
              </w:rPr>
            </w:pPr>
            <w:r>
              <w:rPr>
                <w:rFonts w:ascii="宋体" w:eastAsia="宋体" w:hAnsi="宋体" w:hint="eastAsia"/>
              </w:rPr>
              <w:t>PHIL2009</w:t>
            </w:r>
          </w:p>
        </w:tc>
      </w:tr>
      <w:tr w:rsidR="00AE6ED1" w14:paraId="2B0B350C" w14:textId="77777777">
        <w:trPr>
          <w:jc w:val="center"/>
        </w:trPr>
        <w:tc>
          <w:tcPr>
            <w:tcW w:w="1135" w:type="dxa"/>
            <w:vAlign w:val="center"/>
          </w:tcPr>
          <w:p w14:paraId="35083A7C"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1C265DA" w14:textId="77777777" w:rsidR="00AE6ED1" w:rsidRDefault="00000000">
            <w:pPr>
              <w:spacing w:beforeLines="50" w:before="156" w:afterLines="50" w:after="156"/>
              <w:jc w:val="center"/>
              <w:rPr>
                <w:rFonts w:ascii="宋体" w:eastAsia="宋体" w:hAnsi="宋体"/>
              </w:rPr>
            </w:pPr>
            <w:r>
              <w:rPr>
                <w:rFonts w:ascii="宋体" w:eastAsia="宋体" w:hAnsi="宋体" w:hint="eastAsia"/>
              </w:rPr>
              <w:t>专业选修</w:t>
            </w:r>
          </w:p>
        </w:tc>
        <w:tc>
          <w:tcPr>
            <w:tcW w:w="1134" w:type="dxa"/>
            <w:vAlign w:val="center"/>
          </w:tcPr>
          <w:p w14:paraId="69338EA0"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AB6A96E" w14:textId="47193008" w:rsidR="00AE6ED1" w:rsidRDefault="00000000">
            <w:pPr>
              <w:spacing w:beforeLines="50" w:before="156" w:afterLines="50" w:after="156"/>
              <w:jc w:val="center"/>
              <w:rPr>
                <w:rFonts w:ascii="宋体" w:eastAsia="宋体" w:hAnsi="宋体"/>
              </w:rPr>
            </w:pPr>
            <w:r>
              <w:rPr>
                <w:rFonts w:ascii="宋体" w:eastAsia="宋体" w:hAnsi="宋体" w:hint="eastAsia"/>
              </w:rPr>
              <w:t>PPE实验班</w:t>
            </w:r>
          </w:p>
        </w:tc>
      </w:tr>
      <w:tr w:rsidR="00AE6ED1" w14:paraId="634C39BB" w14:textId="77777777">
        <w:trPr>
          <w:jc w:val="center"/>
        </w:trPr>
        <w:tc>
          <w:tcPr>
            <w:tcW w:w="1135" w:type="dxa"/>
            <w:vAlign w:val="center"/>
          </w:tcPr>
          <w:p w14:paraId="7CDF9B79"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EA666B8" w14:textId="77777777" w:rsidR="00AE6ED1" w:rsidRDefault="00000000">
            <w:pPr>
              <w:spacing w:beforeLines="50" w:before="156" w:afterLines="50" w:after="156"/>
              <w:jc w:val="center"/>
              <w:rPr>
                <w:rFonts w:ascii="宋体" w:eastAsia="宋体" w:hAnsi="宋体"/>
              </w:rPr>
            </w:pPr>
            <w:r>
              <w:rPr>
                <w:rFonts w:ascii="宋体" w:eastAsia="宋体" w:hAnsi="宋体" w:hint="eastAsia"/>
              </w:rPr>
              <w:t>3</w:t>
            </w:r>
          </w:p>
        </w:tc>
        <w:tc>
          <w:tcPr>
            <w:tcW w:w="1134" w:type="dxa"/>
            <w:vAlign w:val="center"/>
          </w:tcPr>
          <w:p w14:paraId="6B5A1651"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8D44FA5" w14:textId="77777777" w:rsidR="00AE6ED1" w:rsidRDefault="00000000">
            <w:pPr>
              <w:spacing w:beforeLines="50" w:before="156" w:afterLines="50" w:after="156"/>
              <w:jc w:val="center"/>
              <w:rPr>
                <w:rFonts w:ascii="宋体" w:eastAsia="宋体" w:hAnsi="宋体"/>
              </w:rPr>
            </w:pPr>
            <w:r>
              <w:rPr>
                <w:rFonts w:ascii="宋体" w:eastAsia="宋体" w:hAnsi="宋体" w:hint="eastAsia"/>
              </w:rPr>
              <w:t>51</w:t>
            </w:r>
          </w:p>
        </w:tc>
      </w:tr>
      <w:tr w:rsidR="00AE6ED1" w14:paraId="7A5CE582" w14:textId="77777777">
        <w:trPr>
          <w:jc w:val="center"/>
        </w:trPr>
        <w:tc>
          <w:tcPr>
            <w:tcW w:w="1135" w:type="dxa"/>
            <w:vAlign w:val="center"/>
          </w:tcPr>
          <w:p w14:paraId="5D40D7E6"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7952F6C" w14:textId="77777777" w:rsidR="00AE6ED1" w:rsidRDefault="00000000">
            <w:pPr>
              <w:spacing w:beforeLines="50" w:before="156" w:afterLines="50" w:after="156"/>
              <w:jc w:val="center"/>
              <w:rPr>
                <w:rFonts w:ascii="宋体" w:eastAsia="宋体" w:hAnsi="宋体"/>
              </w:rPr>
            </w:pPr>
            <w:r>
              <w:rPr>
                <w:rFonts w:ascii="宋体" w:eastAsia="宋体" w:hAnsi="宋体" w:hint="eastAsia"/>
              </w:rPr>
              <w:t>苏培君</w:t>
            </w:r>
          </w:p>
        </w:tc>
        <w:tc>
          <w:tcPr>
            <w:tcW w:w="1134" w:type="dxa"/>
            <w:vAlign w:val="center"/>
          </w:tcPr>
          <w:p w14:paraId="6B857A4F"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72EEBF5" w14:textId="77777777" w:rsidR="00AE6ED1" w:rsidRDefault="00000000">
            <w:pPr>
              <w:spacing w:beforeLines="50" w:before="156" w:afterLines="50" w:after="156"/>
              <w:jc w:val="center"/>
              <w:rPr>
                <w:rFonts w:ascii="宋体" w:eastAsia="宋体" w:hAnsi="宋体"/>
              </w:rPr>
            </w:pPr>
            <w:r>
              <w:rPr>
                <w:rFonts w:ascii="宋体" w:eastAsia="宋体" w:hAnsi="宋体" w:hint="eastAsia"/>
              </w:rPr>
              <w:t>2024/8/27</w:t>
            </w:r>
          </w:p>
        </w:tc>
      </w:tr>
      <w:tr w:rsidR="00AE6ED1" w14:paraId="32D74A3C" w14:textId="77777777">
        <w:trPr>
          <w:jc w:val="center"/>
        </w:trPr>
        <w:tc>
          <w:tcPr>
            <w:tcW w:w="1135" w:type="dxa"/>
            <w:vAlign w:val="center"/>
          </w:tcPr>
          <w:p w14:paraId="66BDC709" w14:textId="77777777" w:rsidR="00AE6E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56E08A3" w14:textId="77777777" w:rsidR="00AE6ED1" w:rsidRDefault="00000000">
            <w:pPr>
              <w:spacing w:beforeLines="50" w:before="156" w:afterLines="50" w:after="156"/>
              <w:jc w:val="center"/>
              <w:rPr>
                <w:rFonts w:ascii="宋体" w:eastAsia="宋体" w:hAnsi="宋体"/>
              </w:rPr>
            </w:pPr>
            <w:r>
              <w:rPr>
                <w:rFonts w:ascii="宋体" w:eastAsia="宋体" w:hAnsi="宋体" w:hint="eastAsia"/>
              </w:rPr>
              <w:t>西方哲学编写组，《西方哲学史》，马克思主义理论研究和建设工程重点教材，中国人民大学出版社，2011年</w:t>
            </w:r>
          </w:p>
        </w:tc>
      </w:tr>
    </w:tbl>
    <w:p w14:paraId="60354BC3" w14:textId="77777777" w:rsidR="00AE6ED1"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0FF5F908" w14:textId="77777777" w:rsidR="00AE6ED1" w:rsidRDefault="00000000">
      <w:pPr>
        <w:pStyle w:val="a3"/>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（一）总体目标：</w:t>
      </w:r>
    </w:p>
    <w:p w14:paraId="0EC5D131" w14:textId="77777777" w:rsidR="00AE6ED1" w:rsidRDefault="00000000">
      <w:pPr>
        <w:pStyle w:val="a3"/>
        <w:spacing w:beforeLines="50" w:before="156" w:afterLines="50" w:after="156"/>
        <w:ind w:firstLineChars="200" w:firstLine="420"/>
        <w:rPr>
          <w:rFonts w:hAnsi="宋体" w:cs="宋体"/>
        </w:rPr>
      </w:pPr>
      <w:r>
        <w:rPr>
          <w:rFonts w:hAnsi="宋体" w:cs="宋体" w:hint="eastAsia"/>
        </w:rPr>
        <w:t>通过对《西方哲学史》的讲授，使学生了解西方哲学从“经验论和唯理论之间的争论”（17世界）到黑格尔之后哲学思想（二十世纪）形成、发展的基本情况与大致线索，把握这一时期哲学家们的重要哲学思想，并在此基础上，明确西方哲学的问题意识和论证方法。</w:t>
      </w:r>
    </w:p>
    <w:p w14:paraId="1DE5DBF2" w14:textId="77777777" w:rsidR="00AE6ED1"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E9BEA0F" w14:textId="77777777" w:rsidR="00AE6ED1" w:rsidRDefault="00000000">
      <w:pPr>
        <w:pStyle w:val="a3"/>
        <w:spacing w:beforeLines="50" w:before="156" w:afterLines="50" w:after="156"/>
        <w:ind w:firstLineChars="200" w:firstLine="428"/>
        <w:rPr>
          <w:rFonts w:hAnsi="宋体" w:cs="宋体"/>
          <w:b/>
        </w:rPr>
      </w:pPr>
      <w:r>
        <w:rPr>
          <w:rFonts w:hAnsi="宋体" w:cs="宋体" w:hint="eastAsia"/>
          <w:b/>
        </w:rPr>
        <w:t>课程目标1：了解经验论与唯理论分歧的焦点、主要代表人物及其重要哲学论点和论证。</w:t>
      </w:r>
    </w:p>
    <w:p w14:paraId="06D26185" w14:textId="77777777" w:rsidR="00AE6ED1" w:rsidRDefault="00000000">
      <w:pPr>
        <w:pStyle w:val="a3"/>
        <w:spacing w:beforeLines="50" w:before="156" w:afterLines="50" w:after="156"/>
        <w:ind w:firstLineChars="200" w:firstLine="428"/>
        <w:rPr>
          <w:rFonts w:hAnsi="宋体" w:cs="宋体"/>
          <w:b/>
        </w:rPr>
      </w:pPr>
      <w:r>
        <w:rPr>
          <w:rFonts w:hAnsi="宋体" w:cs="宋体" w:hint="eastAsia"/>
          <w:b/>
        </w:rPr>
        <w:t>课程目标2：了解法国启蒙哲学的发展、主要代表人物及其重要哲学论点和论证。</w:t>
      </w:r>
    </w:p>
    <w:p w14:paraId="3019B72A" w14:textId="77777777" w:rsidR="00AE6ED1" w:rsidRDefault="00000000">
      <w:pPr>
        <w:pStyle w:val="a3"/>
        <w:spacing w:beforeLines="50" w:before="156" w:afterLines="50" w:after="156"/>
        <w:ind w:firstLineChars="200" w:firstLine="428"/>
        <w:rPr>
          <w:rFonts w:hAnsi="宋体" w:cs="宋体"/>
          <w:b/>
        </w:rPr>
      </w:pPr>
      <w:r>
        <w:rPr>
          <w:rFonts w:hAnsi="宋体" w:cs="宋体" w:hint="eastAsia"/>
          <w:b/>
        </w:rPr>
        <w:t>课程目标3：了解以康德和黑格尔为主要代表的德国古典哲学的发展、重要哲学论点和论证。</w:t>
      </w:r>
    </w:p>
    <w:p w14:paraId="4F46572E" w14:textId="77777777" w:rsidR="00AE6ED1" w:rsidRDefault="00AE6ED1">
      <w:pPr>
        <w:pStyle w:val="a3"/>
        <w:spacing w:beforeLines="50" w:before="156" w:afterLines="50" w:after="156"/>
        <w:ind w:firstLineChars="200" w:firstLine="428"/>
        <w:rPr>
          <w:rFonts w:hAnsi="宋体" w:cs="宋体"/>
          <w:b/>
        </w:rPr>
      </w:pPr>
    </w:p>
    <w:p w14:paraId="6EB5B2B0" w14:textId="77777777" w:rsidR="00AE6ED1"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9C73CC0" w14:textId="77777777" w:rsidR="00AE6ED1"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E6ED1" w14:paraId="2913E934" w14:textId="77777777">
        <w:trPr>
          <w:jc w:val="center"/>
        </w:trPr>
        <w:tc>
          <w:tcPr>
            <w:tcW w:w="1302" w:type="dxa"/>
            <w:vAlign w:val="center"/>
          </w:tcPr>
          <w:p w14:paraId="371773F3" w14:textId="77777777" w:rsidR="00AE6ED1"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4997A08" w14:textId="77777777" w:rsidR="00AE6ED1"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A30CDFD" w14:textId="77777777" w:rsidR="00AE6ED1"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E3D7CAA" w14:textId="77777777" w:rsidR="00AE6ED1"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E6ED1" w14:paraId="208DD7CB" w14:textId="77777777">
        <w:trPr>
          <w:jc w:val="center"/>
        </w:trPr>
        <w:tc>
          <w:tcPr>
            <w:tcW w:w="1302" w:type="dxa"/>
            <w:vMerge w:val="restart"/>
            <w:vAlign w:val="center"/>
          </w:tcPr>
          <w:p w14:paraId="1D7817B9" w14:textId="77777777" w:rsidR="00AE6ED1"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333C0D2" w14:textId="77777777" w:rsidR="00AE6ED1"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F4B2E67" w14:textId="77777777" w:rsidR="00AE6ED1" w:rsidRDefault="00000000">
            <w:pPr>
              <w:pStyle w:val="a3"/>
              <w:spacing w:beforeLines="50" w:before="156" w:afterLines="50" w:after="156"/>
              <w:jc w:val="center"/>
              <w:rPr>
                <w:rFonts w:hAnsi="宋体" w:cs="宋体"/>
              </w:rPr>
            </w:pPr>
            <w:r>
              <w:rPr>
                <w:rFonts w:hAnsi="宋体" w:cs="宋体" w:hint="eastAsia"/>
              </w:rPr>
              <w:t>经验论和唯理论的焦点问题</w:t>
            </w:r>
          </w:p>
        </w:tc>
        <w:tc>
          <w:tcPr>
            <w:tcW w:w="2688" w:type="dxa"/>
            <w:vMerge w:val="restart"/>
            <w:vAlign w:val="center"/>
          </w:tcPr>
          <w:p w14:paraId="101180A7" w14:textId="77777777" w:rsidR="00AE6ED1" w:rsidRDefault="00000000">
            <w:pPr>
              <w:pStyle w:val="a3"/>
              <w:spacing w:beforeLines="50" w:before="156" w:afterLines="50" w:after="156"/>
              <w:jc w:val="center"/>
              <w:rPr>
                <w:rFonts w:ascii="仿宋_GB2312" w:eastAsia="仿宋_GB2312" w:hAnsi="宋体"/>
                <w:szCs w:val="22"/>
                <w:lang w:bidi="ar"/>
              </w:rPr>
            </w:pPr>
            <w:r>
              <w:rPr>
                <w:rFonts w:ascii="仿宋_GB2312" w:eastAsia="仿宋_GB2312" w:hAnsi="仿宋_GB2312" w:cs="仿宋_GB2312" w:hint="eastAsia"/>
                <w:kern w:val="0"/>
                <w:szCs w:val="21"/>
              </w:rPr>
              <w:t xml:space="preserve">3-1 </w:t>
            </w:r>
            <w:r>
              <w:rPr>
                <w:rFonts w:ascii="仿宋_GB2312" w:eastAsia="仿宋_GB2312" w:hAnsi="宋体" w:hint="eastAsia"/>
                <w:szCs w:val="22"/>
                <w:lang w:bidi="ar"/>
              </w:rPr>
              <w:t>系统掌握西方哲学的理论和历史，了解国内外哲学界最重要的理论前沿</w:t>
            </w:r>
            <w:r>
              <w:rPr>
                <w:rFonts w:ascii="仿宋_GB2312" w:eastAsia="仿宋_GB2312" w:hAnsi="宋体" w:hint="eastAsia"/>
                <w:szCs w:val="22"/>
                <w:lang w:bidi="ar"/>
              </w:rPr>
              <w:lastRenderedPageBreak/>
              <w:t>和发展动态，具备进一步从事哲学专业研究的理论基础</w:t>
            </w:r>
          </w:p>
          <w:p w14:paraId="7DBFC7E8" w14:textId="77777777" w:rsidR="00AE6ED1" w:rsidRDefault="00000000">
            <w:pPr>
              <w:pStyle w:val="a3"/>
              <w:spacing w:beforeLines="50" w:before="156" w:afterLines="50" w:after="156"/>
              <w:jc w:val="center"/>
              <w:rPr>
                <w:rFonts w:ascii="仿宋_GB2312" w:eastAsia="仿宋_GB2312" w:hAnsi="宋体"/>
                <w:szCs w:val="22"/>
                <w:lang w:bidi="ar"/>
              </w:rPr>
            </w:pPr>
            <w:r>
              <w:rPr>
                <w:rFonts w:ascii="仿宋_GB2312" w:eastAsia="仿宋_GB2312" w:hAnsi="仿宋_GB2312" w:cs="仿宋_GB2312" w:hint="eastAsia"/>
                <w:kern w:val="0"/>
                <w:szCs w:val="21"/>
              </w:rPr>
              <w:t xml:space="preserve">3-2 </w:t>
            </w:r>
            <w:r>
              <w:rPr>
                <w:rFonts w:ascii="仿宋_GB2312" w:eastAsia="仿宋_GB2312" w:hAnsi="宋体" w:hint="eastAsia"/>
                <w:szCs w:val="22"/>
                <w:lang w:bidi="ar"/>
              </w:rPr>
              <w:t>对当代社会科学、人文科学、思维科学的相关知识具有相当的把握，具有跨学科的宏大理论视野</w:t>
            </w:r>
          </w:p>
          <w:p w14:paraId="22C97068" w14:textId="77777777" w:rsidR="00AE6ED1" w:rsidRDefault="00000000">
            <w:pPr>
              <w:pStyle w:val="a3"/>
              <w:spacing w:beforeLines="50" w:before="156" w:afterLines="50" w:after="156"/>
              <w:jc w:val="center"/>
              <w:rPr>
                <w:rFonts w:ascii="仿宋_GB2312" w:eastAsia="仿宋_GB2312" w:hAnsi="宋体"/>
                <w:szCs w:val="22"/>
                <w:lang w:bidi="ar"/>
              </w:rPr>
            </w:pPr>
            <w:r>
              <w:rPr>
                <w:rFonts w:ascii="仿宋_GB2312" w:eastAsia="仿宋_GB2312" w:hAnsi="仿宋_GB2312" w:cs="仿宋_GB2312" w:hint="eastAsia"/>
                <w:kern w:val="0"/>
                <w:szCs w:val="21"/>
              </w:rPr>
              <w:t xml:space="preserve">3-3 </w:t>
            </w:r>
            <w:r>
              <w:rPr>
                <w:rFonts w:ascii="仿宋_GB2312" w:eastAsia="仿宋_GB2312" w:hAnsi="宋体" w:hint="eastAsia"/>
                <w:szCs w:val="22"/>
                <w:lang w:bidi="ar"/>
              </w:rPr>
              <w:t>具有较高的理论思维能力和较强的批判反思意识</w:t>
            </w:r>
          </w:p>
          <w:p w14:paraId="17F0CF68" w14:textId="77777777" w:rsidR="00AE6ED1" w:rsidRDefault="00000000">
            <w:pPr>
              <w:pStyle w:val="a3"/>
              <w:spacing w:beforeLines="50" w:before="156" w:afterLines="50" w:after="156"/>
              <w:jc w:val="center"/>
              <w:rPr>
                <w:rFonts w:ascii="仿宋_GB2312" w:eastAsia="仿宋_GB2312" w:hAnsi="宋体"/>
                <w:szCs w:val="22"/>
                <w:lang w:bidi="ar"/>
              </w:rPr>
            </w:pPr>
            <w:r>
              <w:rPr>
                <w:rFonts w:ascii="仿宋_GB2312" w:eastAsia="仿宋_GB2312" w:hAnsi="仿宋_GB2312" w:cs="仿宋_GB2312" w:hint="eastAsia"/>
                <w:kern w:val="0"/>
                <w:szCs w:val="21"/>
              </w:rPr>
              <w:t xml:space="preserve">5-2 </w:t>
            </w:r>
            <w:r>
              <w:rPr>
                <w:rFonts w:ascii="仿宋_GB2312" w:eastAsia="仿宋_GB2312" w:hAnsi="宋体" w:hint="eastAsia"/>
                <w:szCs w:val="22"/>
                <w:lang w:bidi="ar"/>
              </w:rPr>
              <w:t>具备较强的专业文献阅读能力和表达能力；具备以哲学思维方式进行理论研究的能力；具备将所学哲学理论和思维方法用于处理具体问题的实践能力</w:t>
            </w:r>
          </w:p>
        </w:tc>
      </w:tr>
      <w:tr w:rsidR="00AE6ED1" w14:paraId="13E62B5E" w14:textId="77777777">
        <w:trPr>
          <w:jc w:val="center"/>
        </w:trPr>
        <w:tc>
          <w:tcPr>
            <w:tcW w:w="1302" w:type="dxa"/>
            <w:vMerge/>
            <w:vAlign w:val="center"/>
          </w:tcPr>
          <w:p w14:paraId="555459E6"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6778798D" w14:textId="77777777" w:rsidR="00AE6ED1"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31A3A5B" w14:textId="77777777" w:rsidR="00AE6ED1" w:rsidRDefault="00000000">
            <w:pPr>
              <w:pStyle w:val="a3"/>
              <w:spacing w:beforeLines="50" w:before="156" w:afterLines="50" w:after="156"/>
              <w:jc w:val="center"/>
              <w:rPr>
                <w:rFonts w:hAnsi="宋体" w:cs="宋体"/>
              </w:rPr>
            </w:pPr>
            <w:r>
              <w:rPr>
                <w:rFonts w:hAnsi="宋体" w:cs="宋体" w:hint="eastAsia"/>
              </w:rPr>
              <w:t>培根哲学</w:t>
            </w:r>
          </w:p>
        </w:tc>
        <w:tc>
          <w:tcPr>
            <w:tcW w:w="2688" w:type="dxa"/>
            <w:vMerge/>
            <w:vAlign w:val="center"/>
          </w:tcPr>
          <w:p w14:paraId="7B8EDC92" w14:textId="77777777" w:rsidR="00AE6ED1" w:rsidRDefault="00AE6ED1">
            <w:pPr>
              <w:pStyle w:val="a3"/>
              <w:spacing w:beforeLines="50" w:before="156" w:afterLines="50" w:after="156"/>
              <w:jc w:val="center"/>
              <w:rPr>
                <w:rFonts w:hAnsi="宋体" w:cs="宋体"/>
              </w:rPr>
            </w:pPr>
          </w:p>
        </w:tc>
      </w:tr>
      <w:tr w:rsidR="00AE6ED1" w14:paraId="1EACAC78" w14:textId="77777777">
        <w:trPr>
          <w:jc w:val="center"/>
        </w:trPr>
        <w:tc>
          <w:tcPr>
            <w:tcW w:w="1302" w:type="dxa"/>
            <w:vMerge/>
            <w:vAlign w:val="center"/>
          </w:tcPr>
          <w:p w14:paraId="53816482"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605B3AB5" w14:textId="77777777" w:rsidR="00AE6ED1" w:rsidRDefault="00000000">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5FEA8D66" w14:textId="77777777" w:rsidR="00AE6ED1" w:rsidRDefault="00000000">
            <w:pPr>
              <w:pStyle w:val="a3"/>
              <w:spacing w:beforeLines="50" w:before="156" w:afterLines="50" w:after="156"/>
              <w:jc w:val="center"/>
              <w:rPr>
                <w:rFonts w:hAnsi="宋体" w:cs="宋体"/>
              </w:rPr>
            </w:pPr>
            <w:r>
              <w:rPr>
                <w:rFonts w:hAnsi="宋体" w:cs="宋体" w:hint="eastAsia"/>
              </w:rPr>
              <w:t>笛卡尔哲学</w:t>
            </w:r>
          </w:p>
        </w:tc>
        <w:tc>
          <w:tcPr>
            <w:tcW w:w="2688" w:type="dxa"/>
            <w:vMerge/>
            <w:vAlign w:val="center"/>
          </w:tcPr>
          <w:p w14:paraId="0F58F434" w14:textId="77777777" w:rsidR="00AE6ED1" w:rsidRDefault="00AE6ED1">
            <w:pPr>
              <w:pStyle w:val="a3"/>
              <w:spacing w:beforeLines="50" w:before="156" w:afterLines="50" w:after="156"/>
              <w:jc w:val="center"/>
              <w:rPr>
                <w:rFonts w:hAnsi="宋体" w:cs="宋体"/>
              </w:rPr>
            </w:pPr>
          </w:p>
        </w:tc>
      </w:tr>
      <w:tr w:rsidR="00AE6ED1" w14:paraId="7FE2BB1A" w14:textId="77777777">
        <w:trPr>
          <w:jc w:val="center"/>
        </w:trPr>
        <w:tc>
          <w:tcPr>
            <w:tcW w:w="1302" w:type="dxa"/>
            <w:vMerge/>
            <w:vAlign w:val="center"/>
          </w:tcPr>
          <w:p w14:paraId="31F3F373"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01486441" w14:textId="77777777" w:rsidR="00AE6ED1" w:rsidRDefault="00000000">
            <w:pPr>
              <w:pStyle w:val="a3"/>
              <w:spacing w:beforeLines="50" w:before="156" w:afterLines="50" w:after="156"/>
              <w:jc w:val="center"/>
              <w:rPr>
                <w:rFonts w:hAnsi="宋体" w:cs="宋体"/>
              </w:rPr>
            </w:pPr>
            <w:r>
              <w:rPr>
                <w:rFonts w:hAnsi="宋体" w:cs="宋体" w:hint="eastAsia"/>
              </w:rPr>
              <w:t>1.4</w:t>
            </w:r>
          </w:p>
        </w:tc>
        <w:tc>
          <w:tcPr>
            <w:tcW w:w="3118" w:type="dxa"/>
            <w:vAlign w:val="center"/>
          </w:tcPr>
          <w:p w14:paraId="0E783FA4" w14:textId="77777777" w:rsidR="00AE6ED1" w:rsidRDefault="00000000">
            <w:pPr>
              <w:pStyle w:val="a3"/>
              <w:spacing w:beforeLines="50" w:before="156" w:afterLines="50" w:after="156"/>
              <w:jc w:val="center"/>
              <w:rPr>
                <w:rFonts w:hAnsi="宋体" w:cs="宋体"/>
              </w:rPr>
            </w:pPr>
            <w:r>
              <w:rPr>
                <w:rFonts w:hAnsi="宋体" w:cs="宋体" w:hint="eastAsia"/>
              </w:rPr>
              <w:t>霍布斯哲学</w:t>
            </w:r>
          </w:p>
        </w:tc>
        <w:tc>
          <w:tcPr>
            <w:tcW w:w="2688" w:type="dxa"/>
            <w:vMerge/>
            <w:vAlign w:val="center"/>
          </w:tcPr>
          <w:p w14:paraId="47BA29C9" w14:textId="77777777" w:rsidR="00AE6ED1" w:rsidRDefault="00AE6ED1">
            <w:pPr>
              <w:pStyle w:val="a3"/>
              <w:spacing w:beforeLines="50" w:before="156" w:afterLines="50" w:after="156"/>
              <w:jc w:val="center"/>
              <w:rPr>
                <w:rFonts w:hAnsi="宋体" w:cs="宋体"/>
              </w:rPr>
            </w:pPr>
          </w:p>
        </w:tc>
      </w:tr>
      <w:tr w:rsidR="00AE6ED1" w14:paraId="13412D94" w14:textId="77777777">
        <w:trPr>
          <w:jc w:val="center"/>
        </w:trPr>
        <w:tc>
          <w:tcPr>
            <w:tcW w:w="1302" w:type="dxa"/>
            <w:vMerge/>
            <w:vAlign w:val="center"/>
          </w:tcPr>
          <w:p w14:paraId="7F44EE7E"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5DFA1FE9" w14:textId="77777777" w:rsidR="00AE6ED1" w:rsidRDefault="00000000">
            <w:pPr>
              <w:pStyle w:val="a3"/>
              <w:spacing w:beforeLines="50" w:before="156" w:afterLines="50" w:after="156"/>
              <w:jc w:val="center"/>
              <w:rPr>
                <w:rFonts w:hAnsi="宋体" w:cs="宋体"/>
              </w:rPr>
            </w:pPr>
            <w:r>
              <w:rPr>
                <w:rFonts w:hAnsi="宋体" w:cs="宋体" w:hint="eastAsia"/>
              </w:rPr>
              <w:t>1.5</w:t>
            </w:r>
          </w:p>
        </w:tc>
        <w:tc>
          <w:tcPr>
            <w:tcW w:w="3118" w:type="dxa"/>
            <w:vAlign w:val="center"/>
          </w:tcPr>
          <w:p w14:paraId="1ABD5FD2" w14:textId="77777777" w:rsidR="00AE6ED1" w:rsidRDefault="00000000">
            <w:pPr>
              <w:pStyle w:val="a3"/>
              <w:spacing w:beforeLines="50" w:before="156" w:afterLines="50" w:after="156"/>
              <w:jc w:val="center"/>
              <w:rPr>
                <w:rFonts w:hAnsi="宋体" w:cs="宋体"/>
              </w:rPr>
            </w:pPr>
            <w:r>
              <w:rPr>
                <w:rFonts w:hAnsi="宋体" w:cs="宋体" w:hint="eastAsia"/>
              </w:rPr>
              <w:t>洛克哲学</w:t>
            </w:r>
          </w:p>
        </w:tc>
        <w:tc>
          <w:tcPr>
            <w:tcW w:w="2688" w:type="dxa"/>
            <w:vMerge/>
            <w:vAlign w:val="center"/>
          </w:tcPr>
          <w:p w14:paraId="0343193A" w14:textId="77777777" w:rsidR="00AE6ED1" w:rsidRDefault="00AE6ED1">
            <w:pPr>
              <w:pStyle w:val="a3"/>
              <w:spacing w:beforeLines="50" w:before="156" w:afterLines="50" w:after="156"/>
              <w:jc w:val="center"/>
              <w:rPr>
                <w:rFonts w:hAnsi="宋体" w:cs="宋体"/>
              </w:rPr>
            </w:pPr>
          </w:p>
        </w:tc>
      </w:tr>
      <w:tr w:rsidR="00AE6ED1" w14:paraId="2C23FFF0" w14:textId="77777777">
        <w:trPr>
          <w:jc w:val="center"/>
        </w:trPr>
        <w:tc>
          <w:tcPr>
            <w:tcW w:w="1302" w:type="dxa"/>
            <w:vMerge/>
            <w:vAlign w:val="center"/>
          </w:tcPr>
          <w:p w14:paraId="7FC9ACEC"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47D7C6BE" w14:textId="77777777" w:rsidR="00AE6ED1" w:rsidRDefault="00000000">
            <w:pPr>
              <w:pStyle w:val="a3"/>
              <w:spacing w:beforeLines="50" w:before="156" w:afterLines="50" w:after="156"/>
              <w:jc w:val="center"/>
              <w:rPr>
                <w:rFonts w:hAnsi="宋体" w:cs="宋体"/>
              </w:rPr>
            </w:pPr>
            <w:r>
              <w:rPr>
                <w:rFonts w:hAnsi="宋体" w:cs="宋体" w:hint="eastAsia"/>
              </w:rPr>
              <w:t>1.6</w:t>
            </w:r>
          </w:p>
        </w:tc>
        <w:tc>
          <w:tcPr>
            <w:tcW w:w="3118" w:type="dxa"/>
            <w:vAlign w:val="center"/>
          </w:tcPr>
          <w:p w14:paraId="0851A031" w14:textId="77777777" w:rsidR="00AE6ED1" w:rsidRDefault="00000000">
            <w:pPr>
              <w:pStyle w:val="a3"/>
              <w:spacing w:beforeLines="50" w:before="156" w:afterLines="50" w:after="156"/>
              <w:jc w:val="center"/>
              <w:rPr>
                <w:rFonts w:hAnsi="宋体" w:cs="宋体"/>
              </w:rPr>
            </w:pPr>
            <w:r>
              <w:rPr>
                <w:rFonts w:hAnsi="宋体" w:cs="宋体" w:hint="eastAsia"/>
              </w:rPr>
              <w:t>休谟哲学</w:t>
            </w:r>
          </w:p>
        </w:tc>
        <w:tc>
          <w:tcPr>
            <w:tcW w:w="2688" w:type="dxa"/>
            <w:vMerge/>
            <w:vAlign w:val="center"/>
          </w:tcPr>
          <w:p w14:paraId="424F519D" w14:textId="77777777" w:rsidR="00AE6ED1" w:rsidRDefault="00AE6ED1">
            <w:pPr>
              <w:pStyle w:val="a3"/>
              <w:spacing w:beforeLines="50" w:before="156" w:afterLines="50" w:after="156"/>
              <w:jc w:val="center"/>
              <w:rPr>
                <w:rFonts w:hAnsi="宋体" w:cs="宋体"/>
              </w:rPr>
            </w:pPr>
          </w:p>
        </w:tc>
      </w:tr>
      <w:tr w:rsidR="00AE6ED1" w14:paraId="4603DA56" w14:textId="77777777">
        <w:trPr>
          <w:jc w:val="center"/>
        </w:trPr>
        <w:tc>
          <w:tcPr>
            <w:tcW w:w="1302" w:type="dxa"/>
            <w:vMerge w:val="restart"/>
            <w:vAlign w:val="center"/>
          </w:tcPr>
          <w:p w14:paraId="4EF161FE" w14:textId="77777777" w:rsidR="00AE6ED1"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CF2243F" w14:textId="77777777" w:rsidR="00AE6ED1"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15C345D" w14:textId="77777777" w:rsidR="00AE6ED1" w:rsidRDefault="00000000">
            <w:pPr>
              <w:pStyle w:val="a3"/>
              <w:spacing w:beforeLines="50" w:before="156" w:afterLines="50" w:after="156"/>
              <w:jc w:val="center"/>
              <w:rPr>
                <w:rFonts w:hAnsi="宋体" w:cs="宋体"/>
              </w:rPr>
            </w:pPr>
            <w:r>
              <w:rPr>
                <w:rFonts w:hAnsi="宋体" w:cs="宋体" w:hint="eastAsia"/>
              </w:rPr>
              <w:t>法国启蒙哲学的诞生</w:t>
            </w:r>
          </w:p>
        </w:tc>
        <w:tc>
          <w:tcPr>
            <w:tcW w:w="2688" w:type="dxa"/>
            <w:vMerge/>
            <w:vAlign w:val="center"/>
          </w:tcPr>
          <w:p w14:paraId="0CF97709" w14:textId="77777777" w:rsidR="00AE6ED1" w:rsidRDefault="00AE6ED1">
            <w:pPr>
              <w:pStyle w:val="a3"/>
              <w:spacing w:beforeLines="50" w:before="156" w:afterLines="50" w:after="156"/>
              <w:jc w:val="center"/>
              <w:rPr>
                <w:rFonts w:hAnsi="宋体" w:cs="宋体"/>
              </w:rPr>
            </w:pPr>
          </w:p>
        </w:tc>
      </w:tr>
      <w:tr w:rsidR="00AE6ED1" w14:paraId="24FEF522" w14:textId="77777777">
        <w:trPr>
          <w:jc w:val="center"/>
        </w:trPr>
        <w:tc>
          <w:tcPr>
            <w:tcW w:w="1302" w:type="dxa"/>
            <w:vMerge/>
            <w:vAlign w:val="center"/>
          </w:tcPr>
          <w:p w14:paraId="4BE45D5C"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2F3BD303" w14:textId="77777777" w:rsidR="00AE6ED1"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05F56D2" w14:textId="77777777" w:rsidR="00AE6ED1" w:rsidRDefault="00000000">
            <w:pPr>
              <w:pStyle w:val="a3"/>
              <w:spacing w:beforeLines="50" w:before="156" w:afterLines="50" w:after="156"/>
              <w:jc w:val="center"/>
              <w:rPr>
                <w:rFonts w:ascii="黑体" w:hAnsi="宋体"/>
                <w:b/>
                <w:bCs/>
                <w:szCs w:val="21"/>
              </w:rPr>
            </w:pPr>
            <w:r>
              <w:rPr>
                <w:rFonts w:ascii="黑体" w:hAnsi="宋体" w:hint="eastAsia"/>
                <w:szCs w:val="21"/>
              </w:rPr>
              <w:t>孟德斯鸠哲学</w:t>
            </w:r>
          </w:p>
        </w:tc>
        <w:tc>
          <w:tcPr>
            <w:tcW w:w="2688" w:type="dxa"/>
            <w:vMerge/>
            <w:vAlign w:val="center"/>
          </w:tcPr>
          <w:p w14:paraId="3C2C8CDD" w14:textId="77777777" w:rsidR="00AE6ED1" w:rsidRDefault="00AE6ED1">
            <w:pPr>
              <w:pStyle w:val="a3"/>
              <w:spacing w:beforeLines="50" w:before="156" w:afterLines="50" w:after="156"/>
              <w:jc w:val="center"/>
              <w:rPr>
                <w:rFonts w:hAnsi="宋体" w:cs="宋体"/>
              </w:rPr>
            </w:pPr>
          </w:p>
        </w:tc>
      </w:tr>
      <w:tr w:rsidR="00AE6ED1" w14:paraId="5F7163B0" w14:textId="77777777">
        <w:trPr>
          <w:jc w:val="center"/>
        </w:trPr>
        <w:tc>
          <w:tcPr>
            <w:tcW w:w="1302" w:type="dxa"/>
            <w:vMerge/>
            <w:vAlign w:val="center"/>
          </w:tcPr>
          <w:p w14:paraId="12B72CA8"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68539919" w14:textId="77777777" w:rsidR="00AE6ED1" w:rsidRDefault="00000000">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1C6347DE" w14:textId="77777777" w:rsidR="00AE6ED1" w:rsidRDefault="00000000">
            <w:pPr>
              <w:pStyle w:val="a3"/>
              <w:spacing w:beforeLines="50" w:before="156" w:afterLines="50" w:after="156"/>
              <w:jc w:val="center"/>
              <w:rPr>
                <w:rFonts w:ascii="黑体" w:hAnsi="宋体"/>
                <w:b/>
                <w:bCs/>
                <w:szCs w:val="21"/>
              </w:rPr>
            </w:pPr>
            <w:r>
              <w:rPr>
                <w:rFonts w:ascii="黑体" w:hAnsi="宋体" w:hint="eastAsia"/>
                <w:szCs w:val="21"/>
              </w:rPr>
              <w:t>伏尔泰哲学</w:t>
            </w:r>
          </w:p>
        </w:tc>
        <w:tc>
          <w:tcPr>
            <w:tcW w:w="2688" w:type="dxa"/>
            <w:vMerge/>
            <w:vAlign w:val="center"/>
          </w:tcPr>
          <w:p w14:paraId="73E956DD" w14:textId="77777777" w:rsidR="00AE6ED1" w:rsidRDefault="00AE6ED1">
            <w:pPr>
              <w:pStyle w:val="a3"/>
              <w:spacing w:beforeLines="50" w:before="156" w:afterLines="50" w:after="156"/>
              <w:jc w:val="center"/>
              <w:rPr>
                <w:rFonts w:hAnsi="宋体" w:cs="宋体"/>
              </w:rPr>
            </w:pPr>
          </w:p>
        </w:tc>
      </w:tr>
      <w:tr w:rsidR="00AE6ED1" w14:paraId="58CF68F8" w14:textId="77777777">
        <w:trPr>
          <w:jc w:val="center"/>
        </w:trPr>
        <w:tc>
          <w:tcPr>
            <w:tcW w:w="1302" w:type="dxa"/>
            <w:vMerge/>
            <w:vAlign w:val="center"/>
          </w:tcPr>
          <w:p w14:paraId="487DADD7"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595DFCDE" w14:textId="77777777" w:rsidR="00AE6ED1" w:rsidRDefault="00000000">
            <w:pPr>
              <w:pStyle w:val="a3"/>
              <w:spacing w:beforeLines="50" w:before="156" w:afterLines="50" w:after="156"/>
              <w:jc w:val="center"/>
              <w:rPr>
                <w:rFonts w:hAnsi="宋体" w:cs="宋体"/>
              </w:rPr>
            </w:pPr>
            <w:r>
              <w:rPr>
                <w:rFonts w:hAnsi="宋体" w:cs="宋体" w:hint="eastAsia"/>
              </w:rPr>
              <w:t>2.4</w:t>
            </w:r>
          </w:p>
        </w:tc>
        <w:tc>
          <w:tcPr>
            <w:tcW w:w="3118" w:type="dxa"/>
            <w:vAlign w:val="center"/>
          </w:tcPr>
          <w:p w14:paraId="1C601C50" w14:textId="77777777" w:rsidR="00AE6ED1" w:rsidRDefault="00000000">
            <w:pPr>
              <w:pStyle w:val="a3"/>
              <w:spacing w:beforeLines="50" w:before="156" w:afterLines="50" w:after="156"/>
              <w:jc w:val="center"/>
              <w:rPr>
                <w:rFonts w:ascii="黑体" w:hAnsi="宋体"/>
                <w:b/>
                <w:bCs/>
                <w:szCs w:val="21"/>
              </w:rPr>
            </w:pPr>
            <w:r>
              <w:rPr>
                <w:rFonts w:ascii="黑体" w:hAnsi="宋体" w:hint="eastAsia"/>
                <w:szCs w:val="21"/>
              </w:rPr>
              <w:t>卢梭哲学</w:t>
            </w:r>
          </w:p>
        </w:tc>
        <w:tc>
          <w:tcPr>
            <w:tcW w:w="2688" w:type="dxa"/>
            <w:vMerge/>
            <w:vAlign w:val="center"/>
          </w:tcPr>
          <w:p w14:paraId="0EB7ECB3" w14:textId="77777777" w:rsidR="00AE6ED1" w:rsidRDefault="00AE6ED1">
            <w:pPr>
              <w:pStyle w:val="a3"/>
              <w:spacing w:beforeLines="50" w:before="156" w:afterLines="50" w:after="156"/>
              <w:jc w:val="center"/>
              <w:rPr>
                <w:rFonts w:hAnsi="宋体" w:cs="宋体"/>
              </w:rPr>
            </w:pPr>
          </w:p>
        </w:tc>
      </w:tr>
      <w:tr w:rsidR="00AE6ED1" w14:paraId="42A11F73" w14:textId="77777777">
        <w:trPr>
          <w:jc w:val="center"/>
        </w:trPr>
        <w:tc>
          <w:tcPr>
            <w:tcW w:w="1302" w:type="dxa"/>
            <w:vMerge w:val="restart"/>
            <w:vAlign w:val="center"/>
          </w:tcPr>
          <w:p w14:paraId="4553F6AC" w14:textId="77777777" w:rsidR="00AE6ED1" w:rsidRDefault="0000000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D4BFE0F" w14:textId="77777777" w:rsidR="00AE6ED1" w:rsidRDefault="00000000">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136E9955" w14:textId="77777777" w:rsidR="00AE6ED1" w:rsidRDefault="00000000">
            <w:pPr>
              <w:pStyle w:val="a3"/>
              <w:spacing w:beforeLines="50" w:before="156" w:afterLines="50" w:after="156"/>
              <w:jc w:val="center"/>
              <w:rPr>
                <w:rFonts w:ascii="黑体" w:hAnsi="宋体"/>
                <w:b/>
                <w:bCs/>
                <w:szCs w:val="21"/>
              </w:rPr>
            </w:pPr>
            <w:r>
              <w:rPr>
                <w:rFonts w:ascii="黑体" w:hAnsi="宋体" w:hint="eastAsia"/>
                <w:szCs w:val="21"/>
              </w:rPr>
              <w:t>德国古典哲学的产生</w:t>
            </w:r>
          </w:p>
        </w:tc>
        <w:tc>
          <w:tcPr>
            <w:tcW w:w="2688" w:type="dxa"/>
            <w:vMerge/>
            <w:vAlign w:val="center"/>
          </w:tcPr>
          <w:p w14:paraId="462F57EB" w14:textId="77777777" w:rsidR="00AE6ED1" w:rsidRDefault="00AE6ED1">
            <w:pPr>
              <w:pStyle w:val="a3"/>
              <w:spacing w:beforeLines="50" w:before="156" w:afterLines="50" w:after="156"/>
              <w:jc w:val="center"/>
              <w:rPr>
                <w:rFonts w:hAnsi="宋体" w:cs="宋体"/>
              </w:rPr>
            </w:pPr>
          </w:p>
        </w:tc>
      </w:tr>
      <w:tr w:rsidR="00AE6ED1" w14:paraId="2A3B6A27" w14:textId="77777777">
        <w:trPr>
          <w:jc w:val="center"/>
        </w:trPr>
        <w:tc>
          <w:tcPr>
            <w:tcW w:w="1302" w:type="dxa"/>
            <w:vMerge/>
            <w:vAlign w:val="center"/>
          </w:tcPr>
          <w:p w14:paraId="1BD73BAF"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2BA99253" w14:textId="77777777" w:rsidR="00AE6ED1" w:rsidRDefault="00000000">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2EA57345" w14:textId="77777777" w:rsidR="00AE6ED1" w:rsidRDefault="00000000">
            <w:pPr>
              <w:pStyle w:val="a3"/>
              <w:spacing w:beforeLines="50" w:before="156" w:afterLines="50" w:after="156"/>
              <w:jc w:val="center"/>
              <w:rPr>
                <w:rFonts w:ascii="黑体" w:hAnsi="宋体"/>
                <w:szCs w:val="21"/>
              </w:rPr>
            </w:pPr>
            <w:r>
              <w:rPr>
                <w:rFonts w:ascii="黑体" w:hAnsi="宋体" w:hint="eastAsia"/>
                <w:szCs w:val="21"/>
              </w:rPr>
              <w:t>康德哲学</w:t>
            </w:r>
          </w:p>
        </w:tc>
        <w:tc>
          <w:tcPr>
            <w:tcW w:w="2688" w:type="dxa"/>
            <w:vMerge/>
            <w:vAlign w:val="center"/>
          </w:tcPr>
          <w:p w14:paraId="5581F334" w14:textId="77777777" w:rsidR="00AE6ED1" w:rsidRDefault="00AE6ED1">
            <w:pPr>
              <w:pStyle w:val="a3"/>
              <w:spacing w:beforeLines="50" w:before="156" w:afterLines="50" w:after="156"/>
              <w:jc w:val="center"/>
              <w:rPr>
                <w:rFonts w:hAnsi="宋体" w:cs="宋体"/>
              </w:rPr>
            </w:pPr>
          </w:p>
        </w:tc>
      </w:tr>
      <w:tr w:rsidR="00AE6ED1" w14:paraId="449F97F3" w14:textId="77777777">
        <w:trPr>
          <w:jc w:val="center"/>
        </w:trPr>
        <w:tc>
          <w:tcPr>
            <w:tcW w:w="1302" w:type="dxa"/>
            <w:vMerge/>
            <w:vAlign w:val="center"/>
          </w:tcPr>
          <w:p w14:paraId="3420C054" w14:textId="77777777" w:rsidR="00AE6ED1" w:rsidRDefault="00AE6ED1">
            <w:pPr>
              <w:pStyle w:val="a3"/>
              <w:spacing w:beforeLines="50" w:before="156" w:afterLines="50" w:after="156"/>
              <w:jc w:val="center"/>
              <w:rPr>
                <w:rFonts w:hAnsi="宋体" w:cs="宋体"/>
                <w:szCs w:val="21"/>
              </w:rPr>
            </w:pPr>
          </w:p>
        </w:tc>
        <w:tc>
          <w:tcPr>
            <w:tcW w:w="1959" w:type="dxa"/>
            <w:vAlign w:val="center"/>
          </w:tcPr>
          <w:p w14:paraId="6C92FF87" w14:textId="77777777" w:rsidR="00AE6ED1" w:rsidRDefault="00000000">
            <w:pPr>
              <w:pStyle w:val="a3"/>
              <w:spacing w:beforeLines="50" w:before="156" w:afterLines="50" w:after="156"/>
              <w:jc w:val="center"/>
              <w:rPr>
                <w:rFonts w:hAnsi="宋体" w:cs="宋体"/>
              </w:rPr>
            </w:pPr>
            <w:r>
              <w:rPr>
                <w:rFonts w:hAnsi="宋体" w:cs="宋体" w:hint="eastAsia"/>
              </w:rPr>
              <w:t>3.3</w:t>
            </w:r>
          </w:p>
        </w:tc>
        <w:tc>
          <w:tcPr>
            <w:tcW w:w="3118" w:type="dxa"/>
            <w:vAlign w:val="center"/>
          </w:tcPr>
          <w:p w14:paraId="2692019A" w14:textId="77777777" w:rsidR="00AE6ED1" w:rsidRDefault="00000000">
            <w:pPr>
              <w:pStyle w:val="a3"/>
              <w:spacing w:beforeLines="50" w:before="156" w:afterLines="50" w:after="156"/>
              <w:jc w:val="center"/>
              <w:rPr>
                <w:rFonts w:ascii="黑体" w:hAnsi="宋体"/>
                <w:szCs w:val="21"/>
              </w:rPr>
            </w:pPr>
            <w:r>
              <w:rPr>
                <w:rFonts w:ascii="黑体" w:hAnsi="宋体" w:hint="eastAsia"/>
                <w:szCs w:val="21"/>
              </w:rPr>
              <w:t>黑格尔哲学</w:t>
            </w:r>
          </w:p>
        </w:tc>
        <w:tc>
          <w:tcPr>
            <w:tcW w:w="2688" w:type="dxa"/>
            <w:vMerge/>
            <w:vAlign w:val="center"/>
          </w:tcPr>
          <w:p w14:paraId="7CA4EE25" w14:textId="77777777" w:rsidR="00AE6ED1" w:rsidRDefault="00AE6ED1">
            <w:pPr>
              <w:pStyle w:val="a3"/>
              <w:spacing w:beforeLines="50" w:before="156" w:afterLines="50" w:after="156"/>
              <w:jc w:val="center"/>
              <w:rPr>
                <w:rFonts w:hAnsi="宋体" w:cs="宋体"/>
              </w:rPr>
            </w:pPr>
          </w:p>
        </w:tc>
      </w:tr>
    </w:tbl>
    <w:p w14:paraId="5C5141FA" w14:textId="77777777" w:rsidR="00AE6ED1" w:rsidRDefault="00AE6ED1">
      <w:pPr>
        <w:spacing w:beforeLines="50" w:before="156" w:afterLines="50" w:after="156"/>
        <w:ind w:firstLineChars="200" w:firstLine="571"/>
        <w:rPr>
          <w:rFonts w:ascii="黑体" w:eastAsia="黑体" w:hAnsi="黑体"/>
          <w:b/>
          <w:sz w:val="28"/>
          <w:szCs w:val="28"/>
        </w:rPr>
      </w:pPr>
    </w:p>
    <w:p w14:paraId="14D3FB0E" w14:textId="77777777" w:rsidR="00AE6ED1" w:rsidRDefault="00000000">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p>
    <w:p w14:paraId="1587942B" w14:textId="77777777" w:rsidR="00AE6ED1" w:rsidRDefault="00000000">
      <w:pPr>
        <w:widowControl/>
        <w:spacing w:beforeLines="50" w:before="156" w:afterLines="50" w:after="156"/>
        <w:ind w:firstLineChars="200" w:firstLine="489"/>
        <w:jc w:val="left"/>
        <w:rPr>
          <w:rFonts w:eastAsia="黑体"/>
        </w:rPr>
      </w:pPr>
      <w:r>
        <w:rPr>
          <w:rFonts w:ascii="黑体" w:eastAsia="黑体" w:hAnsi="黑体" w:cs="Times New Roman" w:hint="eastAsia"/>
          <w:b/>
          <w:sz w:val="24"/>
          <w:szCs w:val="24"/>
        </w:rPr>
        <w:t>第一章 经验论和唯理论的焦点问题</w:t>
      </w:r>
    </w:p>
    <w:p w14:paraId="33F86936"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教学目标：了解经验论和唯理论分歧的焦点</w:t>
      </w:r>
    </w:p>
    <w:p w14:paraId="282701BF"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经验论和唯理论分歧的表现</w:t>
      </w:r>
    </w:p>
    <w:p w14:paraId="52224C5E"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教学内容：了解经验论的哲学主张、唯理论的哲学主张</w:t>
      </w:r>
    </w:p>
    <w:p w14:paraId="7F7E266B"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44EE2A9D"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2CE2DADD"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67B9C586"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培根哲学</w:t>
      </w:r>
    </w:p>
    <w:p w14:paraId="1AA8ADA2"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教学目标：了解培根的经验论哲学</w:t>
      </w:r>
    </w:p>
    <w:p w14:paraId="4E700895"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教学重难点：“四假象说”、自然哲学、经验论的基本原则</w:t>
      </w:r>
    </w:p>
    <w:p w14:paraId="48DEF618"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教学内容：了解培根的生平、哲学思想及其方法论。</w:t>
      </w:r>
    </w:p>
    <w:p w14:paraId="7812C358"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教学方法：讲授法。</w:t>
      </w:r>
    </w:p>
    <w:p w14:paraId="77AA4A98"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7F830F16"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50540D58"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笛卡尔哲学</w:t>
      </w:r>
    </w:p>
    <w:p w14:paraId="1F78E02C"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教学目标：了解笛卡尔的唯理论哲学</w:t>
      </w:r>
    </w:p>
    <w:p w14:paraId="6AA1443A"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教学重难点：笛卡尔的形而上学</w:t>
      </w:r>
    </w:p>
    <w:p w14:paraId="7151E26A"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教学内容：了解笛卡尔的方法论原则、“天赋观念”以及他是如何通过普遍怀疑的方法证明“我思，故我在”“上帝存在”和“外部事物的存在”。</w:t>
      </w:r>
    </w:p>
    <w:p w14:paraId="3EA4DEC9"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6A34F212"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10201182"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515CF7B1"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霍布斯哲学</w:t>
      </w:r>
    </w:p>
    <w:p w14:paraId="559C2DBD"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教学目标：了解霍布斯的自然哲学和公民哲学</w:t>
      </w:r>
    </w:p>
    <w:p w14:paraId="24297EC5"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教学重难点：霍布斯的公民哲学</w:t>
      </w:r>
    </w:p>
    <w:p w14:paraId="600D85D9"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教学内容：了解霍布斯的方法论、自然哲学以及他关于自然本性、自然法、社会契约论的相关思想。</w:t>
      </w:r>
    </w:p>
    <w:p w14:paraId="70431B80"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01268E15"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34E36135" w14:textId="77777777" w:rsidR="00AE6ED1" w:rsidRDefault="00AE6ED1">
      <w:pPr>
        <w:widowControl/>
        <w:spacing w:beforeLines="50" w:before="156" w:afterLines="50" w:after="156"/>
        <w:ind w:firstLineChars="200" w:firstLine="489"/>
        <w:jc w:val="left"/>
        <w:rPr>
          <w:rFonts w:ascii="黑体" w:eastAsia="黑体" w:hAnsi="黑体" w:cs="Times New Roman"/>
          <w:b/>
          <w:sz w:val="24"/>
          <w:szCs w:val="24"/>
        </w:rPr>
      </w:pPr>
    </w:p>
    <w:p w14:paraId="46D2C644"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洛克哲学</w:t>
      </w:r>
    </w:p>
    <w:p w14:paraId="6E0759F4"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教学目标：了解洛克的经验论哲学和社会政治学说</w:t>
      </w:r>
    </w:p>
    <w:p w14:paraId="58F1AD9E"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教学重难点：经验、观念与知识三者之间的关系</w:t>
      </w:r>
    </w:p>
    <w:p w14:paraId="1516E9C4"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教学内容：了解洛克如何通过对“天赋观念”的批判来构建经验论哲学、了解洛克的社会政治学说</w:t>
      </w:r>
    </w:p>
    <w:p w14:paraId="514A2FDE"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0713D258"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0FCDCF05"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3B68E16A"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 休谟哲学</w:t>
      </w:r>
    </w:p>
    <w:p w14:paraId="13728B39"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教学目标：了解休谟的怀疑论</w:t>
      </w:r>
    </w:p>
    <w:p w14:paraId="61D7AF77"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教学重难点：温和的怀疑论和宗教怀疑论</w:t>
      </w:r>
    </w:p>
    <w:p w14:paraId="24641BA0"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教学内容：了解休谟的经验论基本原则、温和的怀疑论和宗教怀疑论</w:t>
      </w:r>
    </w:p>
    <w:p w14:paraId="698AD654"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教学方法：讲授法。</w:t>
      </w:r>
    </w:p>
    <w:p w14:paraId="32BDF35E"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788E8453"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643F6313" w14:textId="77777777" w:rsidR="00AE6ED1" w:rsidRDefault="00000000">
      <w:pPr>
        <w:widowControl/>
        <w:spacing w:beforeLines="50" w:before="156" w:afterLines="50" w:after="156"/>
        <w:ind w:firstLineChars="200" w:firstLine="489"/>
        <w:jc w:val="left"/>
        <w:rPr>
          <w:rFonts w:eastAsia="黑体"/>
        </w:rPr>
      </w:pPr>
      <w:r>
        <w:rPr>
          <w:rFonts w:ascii="黑体" w:eastAsia="黑体" w:hAnsi="黑体" w:cs="Times New Roman" w:hint="eastAsia"/>
          <w:b/>
          <w:sz w:val="24"/>
          <w:szCs w:val="24"/>
        </w:rPr>
        <w:t>第七章 法国启蒙哲学诞生的原因及其基本主张</w:t>
      </w:r>
    </w:p>
    <w:p w14:paraId="103B87B8"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教学目标：了解法国启蒙哲学产生的背景、基本特征和主要代表人物</w:t>
      </w:r>
    </w:p>
    <w:p w14:paraId="54DCA057"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法国启蒙哲学与经验论、唯理论哲学之间的关系</w:t>
      </w:r>
    </w:p>
    <w:p w14:paraId="1BCBF923"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教学内容：了解法国启蒙哲学的基本主张</w:t>
      </w:r>
    </w:p>
    <w:p w14:paraId="69DBCFF0"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64520BE4"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60D2A53E"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065DC314"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孟德斯鸠哲学</w:t>
      </w:r>
    </w:p>
    <w:p w14:paraId="14681800"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教学目标：了解孟德斯鸠的社会政治理论</w:t>
      </w:r>
    </w:p>
    <w:p w14:paraId="10E1E031"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教学重难点：权利分立与政治自由</w:t>
      </w:r>
    </w:p>
    <w:p w14:paraId="62C983FE"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教学内容：了解孟德斯鸠法的精神、政体的性质与动力原则、权利分立与政治自由、地理决定论</w:t>
      </w:r>
    </w:p>
    <w:p w14:paraId="61BF6F6D"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085A0465"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128883A7"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121F92EB"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伏尔泰哲学</w:t>
      </w:r>
    </w:p>
    <w:p w14:paraId="2BDF7F10"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教学目标：了解伏尔泰的社会政治思想</w:t>
      </w:r>
    </w:p>
    <w:p w14:paraId="17586762"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教学重难点：伏尔泰经验论、自然神论与社会政治思想之间的逻辑关系</w:t>
      </w:r>
    </w:p>
    <w:p w14:paraId="5D4FFAF9"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教学内容：了解伏尔泰的经验论、自然神论和社会政治思想</w:t>
      </w:r>
    </w:p>
    <w:p w14:paraId="2E7BB58E"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1BF5726E"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15B85CDC" w14:textId="77777777" w:rsidR="00AE6ED1" w:rsidRDefault="00AE6ED1">
      <w:pPr>
        <w:widowControl/>
        <w:spacing w:beforeLines="50" w:before="156" w:afterLines="50" w:after="156"/>
        <w:ind w:firstLineChars="200" w:firstLine="489"/>
        <w:jc w:val="left"/>
        <w:rPr>
          <w:rFonts w:ascii="黑体" w:eastAsia="黑体" w:hAnsi="黑体" w:cs="Times New Roman"/>
          <w:b/>
          <w:sz w:val="24"/>
          <w:szCs w:val="24"/>
        </w:rPr>
      </w:pPr>
    </w:p>
    <w:p w14:paraId="1CF5AA50" w14:textId="77777777" w:rsidR="00AE6ED1"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 卢梭哲学</w:t>
      </w:r>
    </w:p>
    <w:p w14:paraId="65DAEECF"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教学目标：了解卢梭的社会契约论</w:t>
      </w:r>
    </w:p>
    <w:p w14:paraId="2FB6653F"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教学重难点：社会不平等的起源和基础、克服社会不平等的途径</w:t>
      </w:r>
    </w:p>
    <w:p w14:paraId="3776DE5F"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教学内容：了解卢梭关于人类不平等的起源和基础等方面的相关论述以及社会契约论</w:t>
      </w:r>
    </w:p>
    <w:p w14:paraId="26A8BAB5"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教学方法：讲授法。</w:t>
      </w:r>
    </w:p>
    <w:p w14:paraId="5A88A3C9"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2D8F80D1" w14:textId="77777777" w:rsidR="00AE6ED1" w:rsidRDefault="00AE6ED1">
      <w:pPr>
        <w:widowControl/>
        <w:spacing w:beforeLines="50" w:before="156" w:afterLines="50" w:after="156"/>
        <w:jc w:val="left"/>
        <w:rPr>
          <w:rFonts w:ascii="宋体" w:eastAsia="宋体" w:hAnsi="宋体" w:cs="TimesNewRomanPSMT"/>
          <w:color w:val="000000"/>
          <w:kern w:val="0"/>
          <w:szCs w:val="21"/>
        </w:rPr>
      </w:pPr>
    </w:p>
    <w:p w14:paraId="6CCDC1B6" w14:textId="77777777" w:rsidR="00AE6ED1" w:rsidRDefault="00000000">
      <w:pPr>
        <w:widowControl/>
        <w:spacing w:beforeLines="50" w:before="156" w:afterLines="50" w:after="156"/>
        <w:ind w:firstLineChars="200" w:firstLine="489"/>
        <w:jc w:val="left"/>
        <w:rPr>
          <w:rFonts w:eastAsia="黑体"/>
        </w:rPr>
      </w:pPr>
      <w:r>
        <w:rPr>
          <w:rFonts w:ascii="黑体" w:eastAsia="黑体" w:hAnsi="黑体" w:cs="Times New Roman" w:hint="eastAsia"/>
          <w:b/>
          <w:sz w:val="24"/>
          <w:szCs w:val="24"/>
        </w:rPr>
        <w:t>第十一章 德国古典哲学产生的背景与基本特征</w:t>
      </w:r>
    </w:p>
    <w:p w14:paraId="57D60414"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教学目标：了解德国古典哲学产生的背景、基本特征和主要代表人物</w:t>
      </w:r>
    </w:p>
    <w:p w14:paraId="491F5F0B"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教学重难点：德国古典哲学与经验论、唯理论哲学以及法国启蒙哲学之间的关系</w:t>
      </w:r>
    </w:p>
    <w:p w14:paraId="3EC5D02E"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教学内容：了解德国古典哲学的基本主张</w:t>
      </w:r>
    </w:p>
    <w:p w14:paraId="7760AAA1"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303EF107"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4FCFE0B2"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5A94E252" w14:textId="77777777" w:rsidR="00AE6ED1" w:rsidRDefault="00000000">
      <w:pPr>
        <w:widowControl/>
        <w:spacing w:beforeLines="50" w:before="156" w:afterLines="50" w:after="156"/>
        <w:ind w:firstLineChars="200" w:firstLine="489"/>
        <w:jc w:val="left"/>
        <w:rPr>
          <w:rFonts w:eastAsia="黑体"/>
        </w:rPr>
      </w:pPr>
      <w:r>
        <w:rPr>
          <w:rFonts w:ascii="黑体" w:eastAsia="黑体" w:hAnsi="黑体" w:cs="Times New Roman" w:hint="eastAsia"/>
          <w:b/>
          <w:sz w:val="24"/>
          <w:szCs w:val="24"/>
        </w:rPr>
        <w:t>第十二章 康德的批判哲学</w:t>
      </w:r>
    </w:p>
    <w:p w14:paraId="0A217242"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教学目标：了解康德的批判哲学</w:t>
      </w:r>
    </w:p>
    <w:p w14:paraId="7924AACC"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哥白尼式革命</w:t>
      </w:r>
    </w:p>
    <w:p w14:paraId="777E6155"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教学内容：了解康德的哥白尼式革命</w:t>
      </w:r>
    </w:p>
    <w:p w14:paraId="173DB8CC"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5ABEA9D9"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6A3F2739" w14:textId="77777777" w:rsidR="00AE6ED1" w:rsidRDefault="00AE6ED1">
      <w:pPr>
        <w:widowControl/>
        <w:spacing w:beforeLines="50" w:before="156" w:afterLines="50" w:after="156"/>
        <w:ind w:firstLineChars="200" w:firstLine="420"/>
        <w:jc w:val="left"/>
        <w:rPr>
          <w:rFonts w:ascii="宋体" w:eastAsia="宋体" w:hAnsi="宋体" w:cs="TimesNewRomanPSMT"/>
          <w:color w:val="000000"/>
          <w:kern w:val="0"/>
          <w:szCs w:val="21"/>
        </w:rPr>
      </w:pPr>
    </w:p>
    <w:p w14:paraId="196EC28E" w14:textId="77777777" w:rsidR="00AE6ED1" w:rsidRDefault="00000000">
      <w:pPr>
        <w:widowControl/>
        <w:spacing w:beforeLines="50" w:before="156" w:afterLines="50" w:after="156"/>
        <w:ind w:firstLineChars="200" w:firstLine="489"/>
        <w:jc w:val="left"/>
        <w:rPr>
          <w:rFonts w:eastAsia="黑体"/>
        </w:rPr>
      </w:pPr>
      <w:r>
        <w:rPr>
          <w:rFonts w:ascii="黑体" w:eastAsia="黑体" w:hAnsi="黑体" w:cs="Times New Roman" w:hint="eastAsia"/>
          <w:b/>
          <w:sz w:val="24"/>
          <w:szCs w:val="24"/>
        </w:rPr>
        <w:t>第十三 黑格尔哲学</w:t>
      </w:r>
    </w:p>
    <w:p w14:paraId="1BB419A9" w14:textId="77777777" w:rsidR="00AE6ED1"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教学目标：了解黑格尔的精神现象学、实体观念</w:t>
      </w:r>
    </w:p>
    <w:p w14:paraId="0C18379E"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教学重难点：传统形而上学的终结</w:t>
      </w:r>
    </w:p>
    <w:p w14:paraId="285B0AB6"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教学内容：了解黑格尔的精神现象学、实体即主体、逻辑学、辩证法等方面的基本主张</w:t>
      </w:r>
    </w:p>
    <w:p w14:paraId="77A75E49" w14:textId="77777777" w:rsidR="00AE6ED1"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p>
    <w:p w14:paraId="6C2C540D" w14:textId="77777777" w:rsidR="00AE6E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教学评价：课堂问答。</w:t>
      </w:r>
    </w:p>
    <w:p w14:paraId="208AAE39" w14:textId="77777777" w:rsidR="00AE6ED1" w:rsidRDefault="00AE6ED1">
      <w:pPr>
        <w:widowControl/>
        <w:spacing w:beforeLines="50" w:before="156" w:afterLines="50" w:after="156"/>
        <w:ind w:firstLineChars="200" w:firstLine="489"/>
        <w:jc w:val="left"/>
        <w:rPr>
          <w:rFonts w:ascii="黑体" w:eastAsia="黑体" w:hAnsi="黑体" w:cs="Times New Roman"/>
          <w:b/>
          <w:sz w:val="24"/>
          <w:szCs w:val="24"/>
        </w:rPr>
      </w:pPr>
    </w:p>
    <w:p w14:paraId="67E3EBF3" w14:textId="77777777" w:rsidR="00AE6ED1"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p>
    <w:p w14:paraId="2D3F8084" w14:textId="77777777" w:rsidR="00AE6ED1"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E6ED1" w14:paraId="010AA761" w14:textId="77777777">
        <w:trPr>
          <w:trHeight w:val="340"/>
          <w:jc w:val="center"/>
        </w:trPr>
        <w:tc>
          <w:tcPr>
            <w:tcW w:w="2765" w:type="dxa"/>
            <w:vAlign w:val="center"/>
          </w:tcPr>
          <w:p w14:paraId="1CC35BA5"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6BCEC5E"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CD6B9CD"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E6ED1" w14:paraId="34C23ADE" w14:textId="77777777">
        <w:trPr>
          <w:trHeight w:val="340"/>
          <w:jc w:val="center"/>
        </w:trPr>
        <w:tc>
          <w:tcPr>
            <w:tcW w:w="2765" w:type="dxa"/>
            <w:vAlign w:val="center"/>
          </w:tcPr>
          <w:p w14:paraId="5876D6FE"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第一章</w:t>
            </w:r>
          </w:p>
        </w:tc>
        <w:tc>
          <w:tcPr>
            <w:tcW w:w="2765" w:type="dxa"/>
            <w:vAlign w:val="center"/>
          </w:tcPr>
          <w:p w14:paraId="10B8505D"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经验论与唯理论的焦点问题</w:t>
            </w:r>
          </w:p>
        </w:tc>
        <w:tc>
          <w:tcPr>
            <w:tcW w:w="2766" w:type="dxa"/>
            <w:vAlign w:val="center"/>
          </w:tcPr>
          <w:p w14:paraId="649B0C66"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AE6ED1" w14:paraId="3E6E76D4" w14:textId="77777777">
        <w:trPr>
          <w:trHeight w:val="340"/>
          <w:jc w:val="center"/>
        </w:trPr>
        <w:tc>
          <w:tcPr>
            <w:tcW w:w="2765" w:type="dxa"/>
            <w:vAlign w:val="center"/>
          </w:tcPr>
          <w:p w14:paraId="5E414AF9"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0C10448"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培根哲学</w:t>
            </w:r>
          </w:p>
        </w:tc>
        <w:tc>
          <w:tcPr>
            <w:tcW w:w="2766" w:type="dxa"/>
            <w:vAlign w:val="center"/>
          </w:tcPr>
          <w:p w14:paraId="1AF2052D"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AE6ED1" w14:paraId="0A03F72B" w14:textId="77777777">
        <w:trPr>
          <w:trHeight w:val="340"/>
          <w:jc w:val="center"/>
        </w:trPr>
        <w:tc>
          <w:tcPr>
            <w:tcW w:w="2765" w:type="dxa"/>
            <w:vAlign w:val="center"/>
          </w:tcPr>
          <w:p w14:paraId="1EB0E785"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68556C5"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笛卡尔哲学</w:t>
            </w:r>
          </w:p>
        </w:tc>
        <w:tc>
          <w:tcPr>
            <w:tcW w:w="2766" w:type="dxa"/>
            <w:vAlign w:val="center"/>
          </w:tcPr>
          <w:p w14:paraId="52614784"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AE6ED1" w14:paraId="74353265" w14:textId="77777777">
        <w:trPr>
          <w:trHeight w:val="340"/>
          <w:jc w:val="center"/>
        </w:trPr>
        <w:tc>
          <w:tcPr>
            <w:tcW w:w="2765" w:type="dxa"/>
            <w:vAlign w:val="center"/>
          </w:tcPr>
          <w:p w14:paraId="11562592"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805B75E"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霍布斯哲学</w:t>
            </w:r>
          </w:p>
        </w:tc>
        <w:tc>
          <w:tcPr>
            <w:tcW w:w="2766" w:type="dxa"/>
            <w:vAlign w:val="center"/>
          </w:tcPr>
          <w:p w14:paraId="054EB4F2"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AE6ED1" w14:paraId="2599ACDA" w14:textId="77777777">
        <w:trPr>
          <w:trHeight w:val="340"/>
          <w:jc w:val="center"/>
        </w:trPr>
        <w:tc>
          <w:tcPr>
            <w:tcW w:w="2765" w:type="dxa"/>
            <w:vAlign w:val="center"/>
          </w:tcPr>
          <w:p w14:paraId="00E23B46"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8C1CD18"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洛克哲学</w:t>
            </w:r>
          </w:p>
        </w:tc>
        <w:tc>
          <w:tcPr>
            <w:tcW w:w="2766" w:type="dxa"/>
            <w:vAlign w:val="center"/>
          </w:tcPr>
          <w:p w14:paraId="27AA109A"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AE6ED1" w14:paraId="737A50F5" w14:textId="77777777">
        <w:trPr>
          <w:trHeight w:val="340"/>
          <w:jc w:val="center"/>
        </w:trPr>
        <w:tc>
          <w:tcPr>
            <w:tcW w:w="2765" w:type="dxa"/>
            <w:vAlign w:val="center"/>
          </w:tcPr>
          <w:p w14:paraId="4813D039"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407AF04"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休谟哲学</w:t>
            </w:r>
          </w:p>
        </w:tc>
        <w:tc>
          <w:tcPr>
            <w:tcW w:w="2766" w:type="dxa"/>
            <w:vAlign w:val="center"/>
          </w:tcPr>
          <w:p w14:paraId="2B91FCF1"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AE6ED1" w14:paraId="3A42B61C" w14:textId="77777777">
        <w:trPr>
          <w:trHeight w:val="340"/>
          <w:jc w:val="center"/>
        </w:trPr>
        <w:tc>
          <w:tcPr>
            <w:tcW w:w="2765" w:type="dxa"/>
            <w:vAlign w:val="center"/>
          </w:tcPr>
          <w:p w14:paraId="36789132"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1C96864"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法国启蒙哲学诞生的原因及其基本主张</w:t>
            </w:r>
          </w:p>
        </w:tc>
        <w:tc>
          <w:tcPr>
            <w:tcW w:w="2766" w:type="dxa"/>
            <w:vAlign w:val="center"/>
          </w:tcPr>
          <w:p w14:paraId="4CCB27C4"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AE6ED1" w14:paraId="1C560786" w14:textId="77777777">
        <w:trPr>
          <w:trHeight w:val="340"/>
          <w:jc w:val="center"/>
        </w:trPr>
        <w:tc>
          <w:tcPr>
            <w:tcW w:w="2765" w:type="dxa"/>
            <w:vAlign w:val="center"/>
          </w:tcPr>
          <w:p w14:paraId="5885CD86"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183762E"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孟德斯鸠哲学</w:t>
            </w:r>
          </w:p>
        </w:tc>
        <w:tc>
          <w:tcPr>
            <w:tcW w:w="2766" w:type="dxa"/>
            <w:vAlign w:val="center"/>
          </w:tcPr>
          <w:p w14:paraId="1DF5E40F"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AE6ED1" w14:paraId="25786A7D" w14:textId="77777777">
        <w:trPr>
          <w:trHeight w:val="340"/>
          <w:jc w:val="center"/>
        </w:trPr>
        <w:tc>
          <w:tcPr>
            <w:tcW w:w="2765" w:type="dxa"/>
            <w:vAlign w:val="center"/>
          </w:tcPr>
          <w:p w14:paraId="7AB04C1B"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2FAD8E9"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伏尔泰哲学</w:t>
            </w:r>
          </w:p>
        </w:tc>
        <w:tc>
          <w:tcPr>
            <w:tcW w:w="2766" w:type="dxa"/>
            <w:vAlign w:val="center"/>
          </w:tcPr>
          <w:p w14:paraId="201DED98"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AE6ED1" w14:paraId="07DEB4FE" w14:textId="77777777">
        <w:trPr>
          <w:trHeight w:val="340"/>
          <w:jc w:val="center"/>
        </w:trPr>
        <w:tc>
          <w:tcPr>
            <w:tcW w:w="2765" w:type="dxa"/>
            <w:vAlign w:val="center"/>
          </w:tcPr>
          <w:p w14:paraId="23491223"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9746ABD"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卢梭哲学</w:t>
            </w:r>
          </w:p>
        </w:tc>
        <w:tc>
          <w:tcPr>
            <w:tcW w:w="2766" w:type="dxa"/>
            <w:vAlign w:val="center"/>
          </w:tcPr>
          <w:p w14:paraId="26038C97"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AE6ED1" w14:paraId="0C314DF9" w14:textId="77777777">
        <w:trPr>
          <w:trHeight w:val="340"/>
          <w:jc w:val="center"/>
        </w:trPr>
        <w:tc>
          <w:tcPr>
            <w:tcW w:w="2765" w:type="dxa"/>
            <w:vAlign w:val="center"/>
          </w:tcPr>
          <w:p w14:paraId="0105CDA9"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2C2EA848"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德国古典哲学产生的背景与基本特征</w:t>
            </w:r>
          </w:p>
        </w:tc>
        <w:tc>
          <w:tcPr>
            <w:tcW w:w="2766" w:type="dxa"/>
            <w:vAlign w:val="center"/>
          </w:tcPr>
          <w:p w14:paraId="1A3869F2"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AE6ED1" w14:paraId="6AE92F02" w14:textId="77777777">
        <w:trPr>
          <w:trHeight w:val="340"/>
          <w:jc w:val="center"/>
        </w:trPr>
        <w:tc>
          <w:tcPr>
            <w:tcW w:w="2765" w:type="dxa"/>
            <w:vAlign w:val="center"/>
          </w:tcPr>
          <w:p w14:paraId="789DB546"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7F42530B"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康德的批判哲学</w:t>
            </w:r>
          </w:p>
        </w:tc>
        <w:tc>
          <w:tcPr>
            <w:tcW w:w="2766" w:type="dxa"/>
            <w:vAlign w:val="center"/>
          </w:tcPr>
          <w:p w14:paraId="610F3FE7"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AE6ED1" w14:paraId="18C61C3A" w14:textId="77777777">
        <w:trPr>
          <w:trHeight w:val="340"/>
          <w:jc w:val="center"/>
        </w:trPr>
        <w:tc>
          <w:tcPr>
            <w:tcW w:w="2765" w:type="dxa"/>
            <w:vAlign w:val="center"/>
          </w:tcPr>
          <w:p w14:paraId="663BB5C7"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353FA33"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黑格尔哲学</w:t>
            </w:r>
          </w:p>
        </w:tc>
        <w:tc>
          <w:tcPr>
            <w:tcW w:w="2766" w:type="dxa"/>
            <w:vAlign w:val="center"/>
          </w:tcPr>
          <w:p w14:paraId="4167FD6D"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bl>
    <w:p w14:paraId="11466199" w14:textId="77777777" w:rsidR="00AE6ED1" w:rsidRDefault="00AE6ED1">
      <w:pPr>
        <w:widowControl/>
        <w:spacing w:beforeLines="50" w:before="156" w:afterLines="50" w:after="156"/>
        <w:ind w:firstLineChars="200" w:firstLine="571"/>
        <w:jc w:val="left"/>
        <w:rPr>
          <w:rFonts w:ascii="黑体" w:eastAsia="黑体" w:hAnsi="黑体"/>
          <w:b/>
          <w:sz w:val="28"/>
          <w:szCs w:val="28"/>
        </w:rPr>
      </w:pPr>
    </w:p>
    <w:p w14:paraId="3B885255" w14:textId="77777777" w:rsidR="00AE6ED1"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14:paraId="005925D1"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190"/>
        <w:gridCol w:w="1156"/>
        <w:gridCol w:w="1333"/>
        <w:gridCol w:w="1611"/>
        <w:gridCol w:w="716"/>
        <w:gridCol w:w="1386"/>
        <w:gridCol w:w="904"/>
      </w:tblGrid>
      <w:tr w:rsidR="00AE6ED1" w14:paraId="4F5EDFE6" w14:textId="77777777">
        <w:trPr>
          <w:trHeight w:val="340"/>
          <w:jc w:val="center"/>
        </w:trPr>
        <w:tc>
          <w:tcPr>
            <w:tcW w:w="1190" w:type="dxa"/>
            <w:vAlign w:val="center"/>
          </w:tcPr>
          <w:p w14:paraId="2CEE143E"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156" w:type="dxa"/>
            <w:vAlign w:val="center"/>
          </w:tcPr>
          <w:p w14:paraId="440EAA25"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33" w:type="dxa"/>
            <w:vAlign w:val="center"/>
          </w:tcPr>
          <w:p w14:paraId="110E3C8E"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11" w:type="dxa"/>
            <w:vAlign w:val="center"/>
          </w:tcPr>
          <w:p w14:paraId="4B2FF9DB"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16" w:type="dxa"/>
            <w:vAlign w:val="center"/>
          </w:tcPr>
          <w:p w14:paraId="2045D608"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8467F00"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9C3C09E" w14:textId="77777777" w:rsidR="00AE6E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E6ED1" w14:paraId="72724C29" w14:textId="77777777">
        <w:trPr>
          <w:trHeight w:val="340"/>
          <w:jc w:val="center"/>
        </w:trPr>
        <w:tc>
          <w:tcPr>
            <w:tcW w:w="1190" w:type="dxa"/>
            <w:vAlign w:val="center"/>
          </w:tcPr>
          <w:p w14:paraId="1FED96F9"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156" w:type="dxa"/>
            <w:vAlign w:val="center"/>
          </w:tcPr>
          <w:p w14:paraId="21230E2E"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623F0341"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p w14:paraId="0DC41CA8"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611" w:type="dxa"/>
            <w:vAlign w:val="center"/>
          </w:tcPr>
          <w:p w14:paraId="7885F644"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经验论与唯理论的焦点问题；培根哲学</w:t>
            </w:r>
          </w:p>
        </w:tc>
        <w:tc>
          <w:tcPr>
            <w:tcW w:w="716" w:type="dxa"/>
            <w:vAlign w:val="center"/>
          </w:tcPr>
          <w:p w14:paraId="3D1BEA36"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48D49402"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阅读《新工具》</w:t>
            </w:r>
          </w:p>
        </w:tc>
        <w:tc>
          <w:tcPr>
            <w:tcW w:w="904" w:type="dxa"/>
            <w:vAlign w:val="center"/>
          </w:tcPr>
          <w:p w14:paraId="67F170A7" w14:textId="77777777" w:rsidR="00AE6ED1" w:rsidRDefault="00AE6ED1">
            <w:pPr>
              <w:widowControl/>
              <w:spacing w:beforeLines="50" w:before="156" w:afterLines="50" w:after="156"/>
              <w:jc w:val="center"/>
              <w:rPr>
                <w:rFonts w:ascii="宋体" w:eastAsia="宋体" w:hAnsi="宋体"/>
                <w:szCs w:val="21"/>
              </w:rPr>
            </w:pPr>
          </w:p>
        </w:tc>
      </w:tr>
      <w:tr w:rsidR="00AE6ED1" w14:paraId="251C94B3" w14:textId="77777777">
        <w:trPr>
          <w:trHeight w:val="340"/>
          <w:jc w:val="center"/>
        </w:trPr>
        <w:tc>
          <w:tcPr>
            <w:tcW w:w="1190" w:type="dxa"/>
            <w:vAlign w:val="center"/>
          </w:tcPr>
          <w:p w14:paraId="7BE2E261"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3-4</w:t>
            </w:r>
          </w:p>
        </w:tc>
        <w:tc>
          <w:tcPr>
            <w:tcW w:w="1156" w:type="dxa"/>
            <w:vAlign w:val="center"/>
          </w:tcPr>
          <w:p w14:paraId="41A1B33D"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521268F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611" w:type="dxa"/>
            <w:vAlign w:val="center"/>
          </w:tcPr>
          <w:p w14:paraId="4DD1F4A9"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笛卡尔哲学</w:t>
            </w:r>
          </w:p>
        </w:tc>
        <w:tc>
          <w:tcPr>
            <w:tcW w:w="716" w:type="dxa"/>
            <w:vAlign w:val="center"/>
          </w:tcPr>
          <w:p w14:paraId="0752A7C3"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4C7F619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阅读《谈谈方法》</w:t>
            </w:r>
          </w:p>
        </w:tc>
        <w:tc>
          <w:tcPr>
            <w:tcW w:w="904" w:type="dxa"/>
            <w:vAlign w:val="center"/>
          </w:tcPr>
          <w:p w14:paraId="5EB99FE8" w14:textId="77777777" w:rsidR="00AE6ED1" w:rsidRDefault="00AE6ED1">
            <w:pPr>
              <w:widowControl/>
              <w:spacing w:beforeLines="50" w:before="156" w:afterLines="50" w:after="156"/>
              <w:jc w:val="center"/>
              <w:rPr>
                <w:rFonts w:ascii="宋体" w:eastAsia="宋体" w:hAnsi="宋体"/>
                <w:szCs w:val="21"/>
              </w:rPr>
            </w:pPr>
          </w:p>
        </w:tc>
      </w:tr>
      <w:tr w:rsidR="00AE6ED1" w14:paraId="49CEF519" w14:textId="77777777">
        <w:trPr>
          <w:trHeight w:val="340"/>
          <w:jc w:val="center"/>
        </w:trPr>
        <w:tc>
          <w:tcPr>
            <w:tcW w:w="1190" w:type="dxa"/>
            <w:vAlign w:val="center"/>
          </w:tcPr>
          <w:p w14:paraId="6557C01F"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156" w:type="dxa"/>
            <w:vAlign w:val="center"/>
          </w:tcPr>
          <w:p w14:paraId="12B4567A"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5389D5EA"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1611" w:type="dxa"/>
            <w:vAlign w:val="center"/>
          </w:tcPr>
          <w:p w14:paraId="29A82EA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霍布斯哲学</w:t>
            </w:r>
          </w:p>
        </w:tc>
        <w:tc>
          <w:tcPr>
            <w:tcW w:w="716" w:type="dxa"/>
            <w:vAlign w:val="center"/>
          </w:tcPr>
          <w:p w14:paraId="3FB9E8E7"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4297A46"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阅读《论公民》</w:t>
            </w:r>
          </w:p>
        </w:tc>
        <w:tc>
          <w:tcPr>
            <w:tcW w:w="904" w:type="dxa"/>
            <w:vAlign w:val="center"/>
          </w:tcPr>
          <w:p w14:paraId="5865BFBF" w14:textId="77777777" w:rsidR="00AE6ED1" w:rsidRDefault="00AE6ED1">
            <w:pPr>
              <w:widowControl/>
              <w:spacing w:beforeLines="50" w:before="156" w:afterLines="50" w:after="156"/>
              <w:jc w:val="center"/>
              <w:rPr>
                <w:rFonts w:ascii="宋体" w:eastAsia="宋体" w:hAnsi="宋体"/>
                <w:szCs w:val="21"/>
              </w:rPr>
            </w:pPr>
          </w:p>
        </w:tc>
      </w:tr>
      <w:tr w:rsidR="00AE6ED1" w14:paraId="08D57A64" w14:textId="77777777">
        <w:trPr>
          <w:trHeight w:val="340"/>
          <w:jc w:val="center"/>
        </w:trPr>
        <w:tc>
          <w:tcPr>
            <w:tcW w:w="1190" w:type="dxa"/>
            <w:vAlign w:val="center"/>
          </w:tcPr>
          <w:p w14:paraId="1D8C11A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1156" w:type="dxa"/>
            <w:vAlign w:val="center"/>
          </w:tcPr>
          <w:p w14:paraId="0D56EAE9"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5928551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611" w:type="dxa"/>
            <w:vAlign w:val="center"/>
          </w:tcPr>
          <w:p w14:paraId="6FAE0210"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洛克哲学</w:t>
            </w:r>
          </w:p>
        </w:tc>
        <w:tc>
          <w:tcPr>
            <w:tcW w:w="716" w:type="dxa"/>
            <w:vAlign w:val="center"/>
          </w:tcPr>
          <w:p w14:paraId="2050F799"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25B0428C"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阅读《政府论》</w:t>
            </w:r>
          </w:p>
        </w:tc>
        <w:tc>
          <w:tcPr>
            <w:tcW w:w="904" w:type="dxa"/>
            <w:vAlign w:val="center"/>
          </w:tcPr>
          <w:p w14:paraId="2E4226EB" w14:textId="77777777" w:rsidR="00AE6ED1" w:rsidRDefault="00AE6ED1">
            <w:pPr>
              <w:widowControl/>
              <w:spacing w:beforeLines="50" w:before="156" w:afterLines="50" w:after="156"/>
              <w:jc w:val="center"/>
              <w:rPr>
                <w:rFonts w:ascii="宋体" w:eastAsia="宋体" w:hAnsi="宋体"/>
                <w:szCs w:val="21"/>
              </w:rPr>
            </w:pPr>
          </w:p>
        </w:tc>
      </w:tr>
      <w:tr w:rsidR="00AE6ED1" w14:paraId="3D28F341" w14:textId="77777777">
        <w:trPr>
          <w:trHeight w:val="340"/>
          <w:jc w:val="center"/>
        </w:trPr>
        <w:tc>
          <w:tcPr>
            <w:tcW w:w="1190" w:type="dxa"/>
            <w:vAlign w:val="center"/>
          </w:tcPr>
          <w:p w14:paraId="18C72503"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8-9</w:t>
            </w:r>
          </w:p>
        </w:tc>
        <w:tc>
          <w:tcPr>
            <w:tcW w:w="1156" w:type="dxa"/>
            <w:vAlign w:val="center"/>
          </w:tcPr>
          <w:p w14:paraId="2C6774E0"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280FFBAA"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1611" w:type="dxa"/>
            <w:vAlign w:val="center"/>
          </w:tcPr>
          <w:p w14:paraId="66B1F162"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休谟哲学</w:t>
            </w:r>
          </w:p>
        </w:tc>
        <w:tc>
          <w:tcPr>
            <w:tcW w:w="716" w:type="dxa"/>
            <w:vAlign w:val="center"/>
          </w:tcPr>
          <w:p w14:paraId="5AD3F0C0"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560C532"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阅读《人性论》第一卷</w:t>
            </w:r>
          </w:p>
        </w:tc>
        <w:tc>
          <w:tcPr>
            <w:tcW w:w="904" w:type="dxa"/>
            <w:vAlign w:val="center"/>
          </w:tcPr>
          <w:p w14:paraId="2FCF6F8A" w14:textId="77777777" w:rsidR="00AE6ED1" w:rsidRDefault="00AE6ED1">
            <w:pPr>
              <w:widowControl/>
              <w:spacing w:beforeLines="50" w:before="156" w:afterLines="50" w:after="156"/>
              <w:jc w:val="center"/>
              <w:rPr>
                <w:rFonts w:ascii="宋体" w:eastAsia="宋体" w:hAnsi="宋体"/>
                <w:szCs w:val="21"/>
              </w:rPr>
            </w:pPr>
          </w:p>
        </w:tc>
      </w:tr>
      <w:tr w:rsidR="00AE6ED1" w14:paraId="1827504D" w14:textId="77777777">
        <w:trPr>
          <w:trHeight w:val="340"/>
          <w:jc w:val="center"/>
        </w:trPr>
        <w:tc>
          <w:tcPr>
            <w:tcW w:w="1190" w:type="dxa"/>
            <w:vAlign w:val="center"/>
          </w:tcPr>
          <w:p w14:paraId="3EE02A37"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156" w:type="dxa"/>
            <w:vAlign w:val="center"/>
          </w:tcPr>
          <w:p w14:paraId="2B9F3809"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653A22B2"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45EF45A0"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1611" w:type="dxa"/>
            <w:vAlign w:val="center"/>
          </w:tcPr>
          <w:p w14:paraId="2206E73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rPr>
              <w:t>法国启蒙哲学诞生的原因及其基本主张；孟德斯鸠哲学</w:t>
            </w:r>
          </w:p>
        </w:tc>
        <w:tc>
          <w:tcPr>
            <w:tcW w:w="716" w:type="dxa"/>
            <w:vAlign w:val="center"/>
          </w:tcPr>
          <w:p w14:paraId="3BA5F8D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2BF38E5"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阅读《论法的精神》</w:t>
            </w:r>
          </w:p>
        </w:tc>
        <w:tc>
          <w:tcPr>
            <w:tcW w:w="904" w:type="dxa"/>
            <w:vAlign w:val="center"/>
          </w:tcPr>
          <w:p w14:paraId="6CEE2DB6" w14:textId="77777777" w:rsidR="00AE6ED1" w:rsidRDefault="00AE6ED1">
            <w:pPr>
              <w:widowControl/>
              <w:spacing w:beforeLines="50" w:before="156" w:afterLines="50" w:after="156"/>
              <w:jc w:val="center"/>
              <w:rPr>
                <w:rFonts w:ascii="宋体" w:eastAsia="宋体" w:hAnsi="宋体"/>
                <w:szCs w:val="21"/>
              </w:rPr>
            </w:pPr>
          </w:p>
        </w:tc>
      </w:tr>
      <w:tr w:rsidR="00AE6ED1" w14:paraId="02032C1F" w14:textId="77777777">
        <w:trPr>
          <w:trHeight w:val="340"/>
          <w:jc w:val="center"/>
        </w:trPr>
        <w:tc>
          <w:tcPr>
            <w:tcW w:w="1190" w:type="dxa"/>
            <w:vAlign w:val="center"/>
          </w:tcPr>
          <w:p w14:paraId="749A9C2B"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1156" w:type="dxa"/>
            <w:vAlign w:val="center"/>
          </w:tcPr>
          <w:p w14:paraId="7B936DD5"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7C7E79B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1611" w:type="dxa"/>
            <w:vAlign w:val="center"/>
          </w:tcPr>
          <w:p w14:paraId="6D4BBA36"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伏尔泰哲学</w:t>
            </w:r>
          </w:p>
        </w:tc>
        <w:tc>
          <w:tcPr>
            <w:tcW w:w="716" w:type="dxa"/>
            <w:vAlign w:val="center"/>
          </w:tcPr>
          <w:p w14:paraId="34EECA67"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2CD41D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阅读《形而上学论》</w:t>
            </w:r>
          </w:p>
        </w:tc>
        <w:tc>
          <w:tcPr>
            <w:tcW w:w="904" w:type="dxa"/>
            <w:vAlign w:val="center"/>
          </w:tcPr>
          <w:p w14:paraId="13458F48" w14:textId="77777777" w:rsidR="00AE6ED1" w:rsidRDefault="00AE6ED1">
            <w:pPr>
              <w:widowControl/>
              <w:spacing w:beforeLines="50" w:before="156" w:afterLines="50" w:after="156"/>
              <w:jc w:val="center"/>
              <w:rPr>
                <w:rFonts w:ascii="宋体" w:eastAsia="宋体" w:hAnsi="宋体"/>
                <w:szCs w:val="21"/>
              </w:rPr>
            </w:pPr>
          </w:p>
        </w:tc>
      </w:tr>
      <w:tr w:rsidR="00AE6ED1" w14:paraId="79384EFC" w14:textId="77777777">
        <w:trPr>
          <w:trHeight w:val="340"/>
          <w:jc w:val="center"/>
        </w:trPr>
        <w:tc>
          <w:tcPr>
            <w:tcW w:w="1190" w:type="dxa"/>
            <w:vAlign w:val="center"/>
          </w:tcPr>
          <w:p w14:paraId="040824C3"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1156" w:type="dxa"/>
            <w:vAlign w:val="center"/>
          </w:tcPr>
          <w:p w14:paraId="3C79650F"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02256934"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1611" w:type="dxa"/>
            <w:vAlign w:val="center"/>
          </w:tcPr>
          <w:p w14:paraId="3A74EBCC"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卢梭哲学</w:t>
            </w:r>
          </w:p>
        </w:tc>
        <w:tc>
          <w:tcPr>
            <w:tcW w:w="716" w:type="dxa"/>
            <w:vAlign w:val="center"/>
          </w:tcPr>
          <w:p w14:paraId="62F8ABC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6B65F09"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阅读《社会契约论》序言</w:t>
            </w:r>
          </w:p>
        </w:tc>
        <w:tc>
          <w:tcPr>
            <w:tcW w:w="904" w:type="dxa"/>
            <w:vAlign w:val="center"/>
          </w:tcPr>
          <w:p w14:paraId="781AF357" w14:textId="77777777" w:rsidR="00AE6ED1" w:rsidRDefault="00AE6ED1">
            <w:pPr>
              <w:widowControl/>
              <w:spacing w:beforeLines="50" w:before="156" w:afterLines="50" w:after="156"/>
              <w:jc w:val="center"/>
              <w:rPr>
                <w:rFonts w:ascii="宋体" w:eastAsia="宋体" w:hAnsi="宋体"/>
                <w:szCs w:val="21"/>
              </w:rPr>
            </w:pPr>
          </w:p>
        </w:tc>
      </w:tr>
      <w:tr w:rsidR="00AE6ED1" w14:paraId="1C23A033" w14:textId="77777777">
        <w:trPr>
          <w:trHeight w:val="340"/>
          <w:jc w:val="center"/>
        </w:trPr>
        <w:tc>
          <w:tcPr>
            <w:tcW w:w="1190" w:type="dxa"/>
            <w:vAlign w:val="center"/>
          </w:tcPr>
          <w:p w14:paraId="590C609A"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1156" w:type="dxa"/>
            <w:vAlign w:val="center"/>
          </w:tcPr>
          <w:p w14:paraId="14F488AB"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5CD9F28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1611" w:type="dxa"/>
            <w:vAlign w:val="center"/>
          </w:tcPr>
          <w:p w14:paraId="2EC4170D"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德国古典哲学产生的背景与基本特征</w:t>
            </w:r>
          </w:p>
        </w:tc>
        <w:tc>
          <w:tcPr>
            <w:tcW w:w="716" w:type="dxa"/>
            <w:vAlign w:val="center"/>
          </w:tcPr>
          <w:p w14:paraId="5F3433DA"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4B04131"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阅读《德国古典哲学》</w:t>
            </w:r>
          </w:p>
        </w:tc>
        <w:tc>
          <w:tcPr>
            <w:tcW w:w="904" w:type="dxa"/>
            <w:vAlign w:val="center"/>
          </w:tcPr>
          <w:p w14:paraId="33AA4C1B" w14:textId="77777777" w:rsidR="00AE6ED1" w:rsidRDefault="00AE6ED1">
            <w:pPr>
              <w:widowControl/>
              <w:spacing w:beforeLines="50" w:before="156" w:afterLines="50" w:after="156"/>
              <w:jc w:val="center"/>
              <w:rPr>
                <w:rFonts w:ascii="宋体" w:eastAsia="宋体" w:hAnsi="宋体"/>
                <w:szCs w:val="21"/>
              </w:rPr>
            </w:pPr>
          </w:p>
        </w:tc>
      </w:tr>
      <w:tr w:rsidR="00AE6ED1" w14:paraId="266FE542" w14:textId="77777777">
        <w:trPr>
          <w:trHeight w:val="340"/>
          <w:jc w:val="center"/>
        </w:trPr>
        <w:tc>
          <w:tcPr>
            <w:tcW w:w="1190" w:type="dxa"/>
            <w:vAlign w:val="center"/>
          </w:tcPr>
          <w:p w14:paraId="6A39FD83"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1156" w:type="dxa"/>
            <w:vAlign w:val="center"/>
          </w:tcPr>
          <w:p w14:paraId="1D64F753"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48DBCC14"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1611" w:type="dxa"/>
            <w:vAlign w:val="center"/>
          </w:tcPr>
          <w:p w14:paraId="76617274"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康德的批判哲学</w:t>
            </w:r>
          </w:p>
        </w:tc>
        <w:tc>
          <w:tcPr>
            <w:tcW w:w="716" w:type="dxa"/>
            <w:vAlign w:val="center"/>
          </w:tcPr>
          <w:p w14:paraId="5C30712D"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0C34CC4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阅读《纯粹理性批判》两版序言</w:t>
            </w:r>
          </w:p>
        </w:tc>
        <w:tc>
          <w:tcPr>
            <w:tcW w:w="904" w:type="dxa"/>
            <w:vAlign w:val="center"/>
          </w:tcPr>
          <w:p w14:paraId="4ACFC866" w14:textId="77777777" w:rsidR="00AE6ED1" w:rsidRDefault="00AE6ED1">
            <w:pPr>
              <w:widowControl/>
              <w:spacing w:beforeLines="50" w:before="156" w:afterLines="50" w:after="156"/>
              <w:jc w:val="center"/>
              <w:rPr>
                <w:rFonts w:ascii="宋体" w:eastAsia="宋体" w:hAnsi="宋体"/>
                <w:szCs w:val="21"/>
              </w:rPr>
            </w:pPr>
          </w:p>
        </w:tc>
      </w:tr>
      <w:tr w:rsidR="00AE6ED1" w14:paraId="2D9E07A8" w14:textId="77777777">
        <w:trPr>
          <w:trHeight w:val="340"/>
          <w:jc w:val="center"/>
        </w:trPr>
        <w:tc>
          <w:tcPr>
            <w:tcW w:w="1190" w:type="dxa"/>
            <w:vAlign w:val="center"/>
          </w:tcPr>
          <w:p w14:paraId="0A42F05A"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1156" w:type="dxa"/>
            <w:vAlign w:val="center"/>
          </w:tcPr>
          <w:p w14:paraId="31D92ADB" w14:textId="77777777" w:rsidR="00AE6ED1" w:rsidRDefault="00AE6ED1">
            <w:pPr>
              <w:widowControl/>
              <w:spacing w:beforeLines="50" w:before="156" w:afterLines="50" w:after="156"/>
              <w:jc w:val="center"/>
              <w:rPr>
                <w:rFonts w:ascii="宋体" w:eastAsia="宋体" w:hAnsi="宋体"/>
                <w:szCs w:val="21"/>
              </w:rPr>
            </w:pPr>
          </w:p>
        </w:tc>
        <w:tc>
          <w:tcPr>
            <w:tcW w:w="1333" w:type="dxa"/>
            <w:vAlign w:val="center"/>
          </w:tcPr>
          <w:p w14:paraId="2DC8A44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1611" w:type="dxa"/>
            <w:vAlign w:val="center"/>
          </w:tcPr>
          <w:p w14:paraId="75E77B57" w14:textId="77777777" w:rsidR="00AE6ED1" w:rsidRDefault="00000000">
            <w:pPr>
              <w:widowControl/>
              <w:spacing w:beforeLines="50" w:before="156" w:afterLines="50" w:after="156"/>
              <w:jc w:val="center"/>
              <w:rPr>
                <w:rFonts w:ascii="宋体" w:eastAsia="宋体" w:hAnsi="宋体"/>
              </w:rPr>
            </w:pPr>
            <w:r>
              <w:rPr>
                <w:rFonts w:ascii="宋体" w:eastAsia="宋体" w:hAnsi="宋体" w:hint="eastAsia"/>
              </w:rPr>
              <w:t>黑格尔哲学</w:t>
            </w:r>
          </w:p>
        </w:tc>
        <w:tc>
          <w:tcPr>
            <w:tcW w:w="716" w:type="dxa"/>
            <w:vAlign w:val="center"/>
          </w:tcPr>
          <w:p w14:paraId="2E23A2CE"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4375AF1"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阅读《法哲学原理》序言</w:t>
            </w:r>
          </w:p>
        </w:tc>
        <w:tc>
          <w:tcPr>
            <w:tcW w:w="904" w:type="dxa"/>
            <w:vAlign w:val="center"/>
          </w:tcPr>
          <w:p w14:paraId="265B0FD7" w14:textId="77777777" w:rsidR="00AE6ED1" w:rsidRDefault="00AE6ED1">
            <w:pPr>
              <w:widowControl/>
              <w:spacing w:beforeLines="50" w:before="156" w:afterLines="50" w:after="156"/>
              <w:jc w:val="center"/>
              <w:rPr>
                <w:rFonts w:ascii="宋体" w:eastAsia="宋体" w:hAnsi="宋体"/>
                <w:szCs w:val="21"/>
              </w:rPr>
            </w:pPr>
          </w:p>
        </w:tc>
      </w:tr>
    </w:tbl>
    <w:p w14:paraId="23E993E0" w14:textId="77777777" w:rsidR="00AE6ED1"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p>
    <w:p w14:paraId="4B5B051B" w14:textId="77777777" w:rsidR="00AE6ED1"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．西方哲学编写组，《西方哲学史》，马克思主义理论研究和建设工程重点教材，中国人民大学出版社，2011年；</w:t>
      </w:r>
    </w:p>
    <w:p w14:paraId="431E8CBE" w14:textId="77777777" w:rsidR="00AE6ED1" w:rsidRDefault="00000000">
      <w:pPr>
        <w:widowControl/>
        <w:spacing w:beforeLines="50" w:before="156" w:afterLines="50" w:after="156"/>
        <w:ind w:firstLine="420"/>
        <w:jc w:val="left"/>
        <w:rPr>
          <w:rFonts w:ascii="宋体" w:eastAsia="宋体" w:hAnsi="宋体"/>
        </w:rPr>
      </w:pPr>
      <w:r>
        <w:rPr>
          <w:rFonts w:ascii="宋体" w:eastAsia="宋体" w:hAnsi="宋体" w:hint="eastAsia"/>
        </w:rPr>
        <w:t>2. 张志伟主编，《西方哲学史》，中国人民大学出版社，2002年；</w:t>
      </w:r>
    </w:p>
    <w:p w14:paraId="675DE61D" w14:textId="77777777" w:rsidR="00AE6ED1" w:rsidRDefault="00000000">
      <w:pPr>
        <w:widowControl/>
        <w:spacing w:beforeLines="50" w:before="156" w:afterLines="50" w:after="156"/>
        <w:ind w:firstLine="420"/>
        <w:jc w:val="left"/>
        <w:rPr>
          <w:rFonts w:ascii="宋体" w:eastAsia="宋体" w:hAnsi="宋体"/>
        </w:rPr>
      </w:pPr>
      <w:r>
        <w:rPr>
          <w:rFonts w:ascii="宋体" w:eastAsia="宋体" w:hAnsi="宋体" w:hint="eastAsia"/>
        </w:rPr>
        <w:t>3. 张志伟主编，《西方哲学智慧》，中国人民大学出版社，2009年；</w:t>
      </w:r>
    </w:p>
    <w:p w14:paraId="525846B0" w14:textId="77777777" w:rsidR="00AE6ED1" w:rsidRDefault="00000000">
      <w:pPr>
        <w:widowControl/>
        <w:spacing w:beforeLines="50" w:before="156" w:afterLines="50" w:after="156"/>
        <w:ind w:firstLine="420"/>
        <w:jc w:val="left"/>
        <w:rPr>
          <w:rFonts w:ascii="宋体" w:eastAsia="宋体" w:hAnsi="宋体"/>
        </w:rPr>
      </w:pPr>
      <w:r>
        <w:rPr>
          <w:rFonts w:ascii="宋体" w:eastAsia="宋体" w:hAnsi="宋体" w:hint="eastAsia"/>
        </w:rPr>
        <w:lastRenderedPageBreak/>
        <w:t>4. 邓晓芒、赵林，《西方哲学史》，高等教育出版社，2014年；</w:t>
      </w:r>
    </w:p>
    <w:p w14:paraId="155F6ED4" w14:textId="77777777" w:rsidR="00AE6ED1" w:rsidRDefault="00000000">
      <w:pPr>
        <w:widowControl/>
        <w:spacing w:beforeLines="50" w:before="156" w:afterLines="50" w:after="156"/>
        <w:ind w:firstLine="420"/>
        <w:jc w:val="left"/>
        <w:rPr>
          <w:rFonts w:ascii="宋体" w:eastAsia="宋体" w:hAnsi="宋体"/>
        </w:rPr>
      </w:pPr>
      <w:r>
        <w:rPr>
          <w:rFonts w:ascii="宋体" w:eastAsia="宋体" w:hAnsi="宋体" w:hint="eastAsia"/>
        </w:rPr>
        <w:t>5. 张志伟，《西方哲学十五讲》，中国人民大学出版社，2020年。</w:t>
      </w:r>
    </w:p>
    <w:p w14:paraId="0497069E" w14:textId="77777777" w:rsidR="00AE6ED1"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p>
    <w:p w14:paraId="14552824" w14:textId="77777777" w:rsidR="00AE6ED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1．讲授法：授课教师说明西方哲学思想的历史背景和发展、哲学家的论点和论证。</w:t>
      </w:r>
    </w:p>
    <w:p w14:paraId="7847C26C" w14:textId="77777777" w:rsidR="00AE6ED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2．讨论法：以同学自由提问和讨论为主。</w:t>
      </w:r>
    </w:p>
    <w:p w14:paraId="28EB1A4F" w14:textId="77777777" w:rsidR="00AE6ED1"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403821BF" w14:textId="77777777" w:rsidR="00AE6ED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4D980C6" w14:textId="77777777" w:rsidR="00AE6ED1"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E6ED1" w14:paraId="3DA14248" w14:textId="77777777">
        <w:trPr>
          <w:trHeight w:val="567"/>
          <w:jc w:val="center"/>
        </w:trPr>
        <w:tc>
          <w:tcPr>
            <w:tcW w:w="2847" w:type="dxa"/>
            <w:vAlign w:val="center"/>
          </w:tcPr>
          <w:p w14:paraId="34640426" w14:textId="77777777" w:rsidR="00AE6ED1"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C19441E" w14:textId="77777777" w:rsidR="00AE6ED1"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8CE4575" w14:textId="77777777" w:rsidR="00AE6ED1" w:rsidRDefault="00000000">
            <w:pPr>
              <w:pStyle w:val="a3"/>
              <w:spacing w:beforeLines="50" w:before="156" w:afterLines="50" w:after="156"/>
              <w:jc w:val="center"/>
              <w:rPr>
                <w:rFonts w:hAnsi="宋体"/>
                <w:b/>
              </w:rPr>
            </w:pPr>
            <w:r>
              <w:rPr>
                <w:rFonts w:hAnsi="宋体" w:hint="eastAsia"/>
                <w:b/>
              </w:rPr>
              <w:t>考核方式</w:t>
            </w:r>
          </w:p>
        </w:tc>
      </w:tr>
      <w:tr w:rsidR="00AE6ED1" w14:paraId="61AD2CD9" w14:textId="77777777">
        <w:trPr>
          <w:trHeight w:val="567"/>
          <w:jc w:val="center"/>
        </w:trPr>
        <w:tc>
          <w:tcPr>
            <w:tcW w:w="2847" w:type="dxa"/>
            <w:vAlign w:val="center"/>
          </w:tcPr>
          <w:p w14:paraId="67BB30F3" w14:textId="77777777" w:rsidR="00AE6ED1" w:rsidRDefault="00000000">
            <w:pPr>
              <w:pStyle w:val="a3"/>
              <w:spacing w:beforeLines="50" w:before="156" w:afterLines="50" w:after="156"/>
              <w:jc w:val="center"/>
              <w:rPr>
                <w:rFonts w:hAnsi="宋体"/>
              </w:rPr>
            </w:pPr>
            <w:r>
              <w:rPr>
                <w:rFonts w:hAnsi="宋体" w:hint="eastAsia"/>
              </w:rPr>
              <w:t>课程目标1-3</w:t>
            </w:r>
          </w:p>
        </w:tc>
        <w:tc>
          <w:tcPr>
            <w:tcW w:w="2849" w:type="dxa"/>
            <w:vAlign w:val="center"/>
          </w:tcPr>
          <w:p w14:paraId="02F692BB" w14:textId="77777777" w:rsidR="00AE6ED1" w:rsidRDefault="00000000">
            <w:pPr>
              <w:pStyle w:val="a3"/>
              <w:spacing w:beforeLines="50" w:before="156" w:afterLines="50" w:after="156"/>
              <w:jc w:val="center"/>
              <w:rPr>
                <w:rFonts w:hAnsi="宋体"/>
                <w:b/>
              </w:rPr>
            </w:pPr>
            <w:r>
              <w:rPr>
                <w:rFonts w:hAnsi="宋体" w:hint="eastAsia"/>
                <w:bCs/>
              </w:rPr>
              <w:t>授课内容，以难点为主</w:t>
            </w:r>
          </w:p>
        </w:tc>
        <w:tc>
          <w:tcPr>
            <w:tcW w:w="2849" w:type="dxa"/>
            <w:vAlign w:val="center"/>
          </w:tcPr>
          <w:p w14:paraId="7214F0C2" w14:textId="77777777" w:rsidR="00AE6ED1" w:rsidRDefault="00000000">
            <w:pPr>
              <w:pStyle w:val="a3"/>
              <w:spacing w:beforeLines="50" w:before="156" w:afterLines="50" w:after="156"/>
              <w:jc w:val="center"/>
              <w:rPr>
                <w:rFonts w:hAnsi="宋体"/>
                <w:b/>
              </w:rPr>
            </w:pPr>
            <w:r>
              <w:rPr>
                <w:rFonts w:hAnsi="宋体" w:hint="eastAsia"/>
                <w:bCs/>
              </w:rPr>
              <w:t>论文或考试</w:t>
            </w:r>
          </w:p>
        </w:tc>
      </w:tr>
    </w:tbl>
    <w:p w14:paraId="76F05440" w14:textId="77777777" w:rsidR="00AE6ED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14:paraId="56FD4D58" w14:textId="77777777" w:rsidR="00AE6ED1"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14:paraId="008F9A49" w14:textId="77777777" w:rsidR="00AE6ED1" w:rsidRDefault="00000000">
      <w:pPr>
        <w:spacing w:line="420" w:lineRule="exact"/>
        <w:ind w:firstLineChars="150" w:firstLine="315"/>
        <w:rPr>
          <w:rFonts w:ascii="宋体" w:eastAsia="宋体" w:hAnsi="宋体"/>
          <w:szCs w:val="21"/>
        </w:rPr>
      </w:pPr>
      <w:r>
        <w:rPr>
          <w:rFonts w:ascii="宋体" w:eastAsia="宋体" w:hAnsi="宋体"/>
          <w:szCs w:val="21"/>
        </w:rPr>
        <w:t>平时成绩：</w:t>
      </w:r>
      <w:r>
        <w:rPr>
          <w:rFonts w:ascii="宋体" w:eastAsia="宋体" w:hAnsi="宋体" w:hint="eastAsia"/>
          <w:szCs w:val="21"/>
        </w:rPr>
        <w:t>2</w:t>
      </w:r>
      <w:r>
        <w:rPr>
          <w:rFonts w:ascii="宋体" w:eastAsia="宋体" w:hAnsi="宋体"/>
          <w:szCs w:val="21"/>
        </w:rPr>
        <w:t>0%（考勤与提问、考察）</w:t>
      </w:r>
    </w:p>
    <w:p w14:paraId="67DFF66E" w14:textId="77777777" w:rsidR="00AE6ED1" w:rsidRDefault="00000000">
      <w:pPr>
        <w:spacing w:line="420" w:lineRule="exact"/>
        <w:ind w:firstLineChars="150" w:firstLine="315"/>
        <w:rPr>
          <w:rFonts w:ascii="宋体" w:eastAsia="宋体" w:hAnsi="宋体"/>
          <w:szCs w:val="21"/>
        </w:rPr>
      </w:pPr>
      <w:r>
        <w:rPr>
          <w:rFonts w:ascii="宋体" w:eastAsia="宋体" w:hAnsi="宋体"/>
          <w:szCs w:val="21"/>
        </w:rPr>
        <w:t>期中考试：</w:t>
      </w:r>
      <w:r>
        <w:rPr>
          <w:rFonts w:ascii="宋体" w:eastAsia="宋体" w:hAnsi="宋体" w:hint="eastAsia"/>
          <w:szCs w:val="21"/>
        </w:rPr>
        <w:t>2</w:t>
      </w:r>
      <w:r>
        <w:rPr>
          <w:rFonts w:ascii="宋体" w:eastAsia="宋体" w:hAnsi="宋体"/>
          <w:szCs w:val="21"/>
        </w:rPr>
        <w:t>0%（论文或试卷）</w:t>
      </w:r>
    </w:p>
    <w:p w14:paraId="2503E0B7" w14:textId="77777777" w:rsidR="00AE6ED1" w:rsidRDefault="00000000">
      <w:pPr>
        <w:spacing w:line="420" w:lineRule="exact"/>
        <w:ind w:firstLineChars="150" w:firstLine="315"/>
        <w:rPr>
          <w:rFonts w:ascii="宋体" w:eastAsia="宋体" w:hAnsi="宋体"/>
          <w:szCs w:val="21"/>
        </w:rPr>
      </w:pPr>
      <w:r>
        <w:rPr>
          <w:rFonts w:ascii="宋体" w:eastAsia="宋体" w:hAnsi="宋体"/>
          <w:szCs w:val="21"/>
        </w:rPr>
        <w:t>期末考试：60%（论文或试卷）</w:t>
      </w:r>
    </w:p>
    <w:p w14:paraId="76EA2EAA" w14:textId="77777777" w:rsidR="00AE6ED1"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p>
    <w:p w14:paraId="54E4C796" w14:textId="77777777" w:rsidR="00AE6ED1"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E6ED1" w14:paraId="0CC449C5" w14:textId="77777777">
        <w:trPr>
          <w:jc w:val="center"/>
        </w:trPr>
        <w:tc>
          <w:tcPr>
            <w:tcW w:w="2122" w:type="dxa"/>
            <w:tcBorders>
              <w:tl2br w:val="single" w:sz="4" w:space="0" w:color="auto"/>
            </w:tcBorders>
            <w:shd w:val="clear" w:color="auto" w:fill="auto"/>
            <w:vAlign w:val="center"/>
          </w:tcPr>
          <w:p w14:paraId="5E526029" w14:textId="77777777" w:rsidR="00AE6ED1" w:rsidRDefault="00000000">
            <w:pPr>
              <w:spacing w:beforeLines="50" w:before="156" w:afterLines="50" w:after="156"/>
              <w:ind w:firstLineChars="343" w:firstLine="734"/>
              <w:rPr>
                <w:rFonts w:ascii="宋体" w:eastAsia="宋体" w:hAnsi="宋体"/>
                <w:b/>
                <w:bCs/>
                <w:kern w:val="0"/>
                <w:szCs w:val="21"/>
              </w:rPr>
            </w:pPr>
            <w:r>
              <w:rPr>
                <w:rFonts w:ascii="宋体" w:eastAsia="宋体" w:hAnsi="宋体" w:hint="eastAsia"/>
                <w:b/>
                <w:bCs/>
                <w:kern w:val="0"/>
                <w:szCs w:val="21"/>
              </w:rPr>
              <w:t>考核占比</w:t>
            </w:r>
          </w:p>
          <w:p w14:paraId="3099BEF2" w14:textId="77777777" w:rsidR="00AE6ED1"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407DE5E"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E408E3E"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73C8F89D"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976D0CE"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E6ED1" w14:paraId="3E223988" w14:textId="77777777">
        <w:trPr>
          <w:trHeight w:val="620"/>
          <w:jc w:val="center"/>
        </w:trPr>
        <w:tc>
          <w:tcPr>
            <w:tcW w:w="2122" w:type="dxa"/>
            <w:shd w:val="clear" w:color="auto" w:fill="auto"/>
            <w:vAlign w:val="center"/>
          </w:tcPr>
          <w:p w14:paraId="24812E0C"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FDAF22A"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shd w:val="clear" w:color="auto" w:fill="auto"/>
            <w:vAlign w:val="center"/>
          </w:tcPr>
          <w:p w14:paraId="65F2E5AB"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2C5D78F7"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2627" w:type="dxa"/>
            <w:vMerge w:val="restart"/>
            <w:shd w:val="clear" w:color="auto" w:fill="auto"/>
            <w:vAlign w:val="center"/>
          </w:tcPr>
          <w:p w14:paraId="512AD4B8" w14:textId="77777777" w:rsidR="00AE6ED1" w:rsidRDefault="00000000">
            <w:pPr>
              <w:spacing w:beforeLines="50" w:before="156" w:afterLines="50" w:after="156"/>
              <w:rPr>
                <w:rFonts w:ascii="宋体" w:eastAsia="宋体" w:hAnsi="宋体"/>
                <w:kern w:val="0"/>
                <w:szCs w:val="21"/>
              </w:rPr>
            </w:pPr>
            <w:r>
              <w:rPr>
                <w:rFonts w:ascii="宋体" w:eastAsia="宋体" w:hAnsi="宋体"/>
                <w:kern w:val="0"/>
                <w:szCs w:val="21"/>
              </w:rPr>
              <w:t>分目标达成度={0.</w:t>
            </w:r>
            <w:r>
              <w:rPr>
                <w:rFonts w:ascii="宋体" w:eastAsia="宋体" w:hAnsi="宋体" w:hint="eastAsia"/>
                <w:kern w:val="0"/>
                <w:szCs w:val="21"/>
              </w:rPr>
              <w:t>2</w:t>
            </w:r>
            <w:r>
              <w:rPr>
                <w:rFonts w:ascii="宋体" w:eastAsia="宋体" w:hAnsi="宋体"/>
                <w:kern w:val="0"/>
                <w:szCs w:val="21"/>
              </w:rPr>
              <w:t>ｘ平时分目标成绩+0.</w:t>
            </w:r>
            <w:r>
              <w:rPr>
                <w:rFonts w:ascii="宋体" w:eastAsia="宋体" w:hAnsi="宋体" w:hint="eastAsia"/>
                <w:kern w:val="0"/>
                <w:szCs w:val="21"/>
              </w:rPr>
              <w:t>2</w:t>
            </w:r>
            <w:r>
              <w:rPr>
                <w:rFonts w:ascii="宋体" w:eastAsia="宋体" w:hAnsi="宋体"/>
                <w:kern w:val="0"/>
                <w:szCs w:val="21"/>
              </w:rPr>
              <w:t>ｘ期中分目标成绩  +0.6ｘ期末分目标成绩 }/分目标总分</w:t>
            </w:r>
          </w:p>
        </w:tc>
      </w:tr>
      <w:tr w:rsidR="00AE6ED1" w14:paraId="49EB6F5C" w14:textId="77777777">
        <w:trPr>
          <w:trHeight w:val="679"/>
          <w:jc w:val="center"/>
        </w:trPr>
        <w:tc>
          <w:tcPr>
            <w:tcW w:w="2122" w:type="dxa"/>
            <w:shd w:val="clear" w:color="auto" w:fill="auto"/>
            <w:vAlign w:val="center"/>
          </w:tcPr>
          <w:p w14:paraId="03059BF0"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3011AC7"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shd w:val="clear" w:color="auto" w:fill="auto"/>
            <w:vAlign w:val="center"/>
          </w:tcPr>
          <w:p w14:paraId="5B0A2E95"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6E2B8FD7"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2627" w:type="dxa"/>
            <w:vMerge/>
            <w:shd w:val="clear" w:color="auto" w:fill="auto"/>
            <w:vAlign w:val="center"/>
          </w:tcPr>
          <w:p w14:paraId="4C6FEF8C" w14:textId="77777777" w:rsidR="00AE6ED1" w:rsidRDefault="00AE6ED1">
            <w:pPr>
              <w:spacing w:beforeLines="50" w:before="156" w:afterLines="50" w:after="156"/>
              <w:rPr>
                <w:rFonts w:ascii="宋体" w:eastAsia="宋体" w:hAnsi="宋体"/>
                <w:kern w:val="0"/>
                <w:szCs w:val="21"/>
              </w:rPr>
            </w:pPr>
          </w:p>
        </w:tc>
      </w:tr>
      <w:tr w:rsidR="00AE6ED1" w14:paraId="2A62DB6A" w14:textId="77777777">
        <w:trPr>
          <w:trHeight w:val="755"/>
          <w:jc w:val="center"/>
        </w:trPr>
        <w:tc>
          <w:tcPr>
            <w:tcW w:w="2122" w:type="dxa"/>
            <w:shd w:val="clear" w:color="auto" w:fill="auto"/>
            <w:vAlign w:val="center"/>
          </w:tcPr>
          <w:p w14:paraId="5EDC3232"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F0358BD"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1134" w:type="dxa"/>
            <w:shd w:val="clear" w:color="auto" w:fill="auto"/>
            <w:vAlign w:val="center"/>
          </w:tcPr>
          <w:p w14:paraId="43BA926A"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1134" w:type="dxa"/>
            <w:vAlign w:val="center"/>
          </w:tcPr>
          <w:p w14:paraId="2AE88186"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shd w:val="clear" w:color="auto" w:fill="auto"/>
            <w:vAlign w:val="center"/>
          </w:tcPr>
          <w:p w14:paraId="6BBD6152" w14:textId="77777777" w:rsidR="00AE6ED1" w:rsidRDefault="00AE6ED1">
            <w:pPr>
              <w:spacing w:beforeLines="50" w:before="156" w:afterLines="50" w:after="156"/>
              <w:rPr>
                <w:rFonts w:ascii="宋体" w:eastAsia="宋体" w:hAnsi="宋体"/>
                <w:kern w:val="0"/>
                <w:szCs w:val="21"/>
              </w:rPr>
            </w:pPr>
          </w:p>
        </w:tc>
      </w:tr>
      <w:tr w:rsidR="00AE6ED1" w14:paraId="5F8BCA88" w14:textId="77777777">
        <w:trPr>
          <w:trHeight w:val="755"/>
          <w:jc w:val="center"/>
        </w:trPr>
        <w:tc>
          <w:tcPr>
            <w:tcW w:w="2122" w:type="dxa"/>
            <w:shd w:val="clear" w:color="auto" w:fill="auto"/>
            <w:vAlign w:val="center"/>
          </w:tcPr>
          <w:p w14:paraId="7DBA6348"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463682A6"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F2AB6CE"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59D237EC" w14:textId="77777777" w:rsidR="00AE6E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6303ACD5" w14:textId="77777777" w:rsidR="00AE6ED1" w:rsidRDefault="00AE6ED1">
            <w:pPr>
              <w:spacing w:beforeLines="50" w:before="156" w:afterLines="50" w:after="156"/>
              <w:rPr>
                <w:rFonts w:ascii="宋体" w:eastAsia="宋体" w:hAnsi="宋体"/>
                <w:kern w:val="0"/>
                <w:szCs w:val="21"/>
              </w:rPr>
            </w:pPr>
          </w:p>
        </w:tc>
      </w:tr>
    </w:tbl>
    <w:p w14:paraId="43060109" w14:textId="77777777" w:rsidR="00AE6ED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E6ED1" w14:paraId="6EC664A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2ABBF51"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558D28AE"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772C4D3"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E6ED1" w14:paraId="0672E68A" w14:textId="77777777">
        <w:trPr>
          <w:trHeight w:val="454"/>
          <w:tblHeader/>
          <w:jc w:val="center"/>
        </w:trPr>
        <w:tc>
          <w:tcPr>
            <w:tcW w:w="993" w:type="dxa"/>
            <w:vMerge/>
            <w:tcBorders>
              <w:left w:val="single" w:sz="4" w:space="0" w:color="auto"/>
              <w:right w:val="single" w:sz="4" w:space="0" w:color="auto"/>
            </w:tcBorders>
            <w:vAlign w:val="center"/>
          </w:tcPr>
          <w:p w14:paraId="1A54A5B2" w14:textId="77777777" w:rsidR="00AE6ED1" w:rsidRDefault="00AE6ED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3DA7B16"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7D0CD7B"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DCF91F6"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14D0C1E"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0A460C3"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E6ED1" w14:paraId="0D724773" w14:textId="77777777">
        <w:trPr>
          <w:trHeight w:val="449"/>
          <w:tblHeader/>
          <w:jc w:val="center"/>
        </w:trPr>
        <w:tc>
          <w:tcPr>
            <w:tcW w:w="993" w:type="dxa"/>
            <w:vMerge/>
            <w:tcBorders>
              <w:left w:val="single" w:sz="4" w:space="0" w:color="auto"/>
              <w:right w:val="single" w:sz="4" w:space="0" w:color="auto"/>
            </w:tcBorders>
            <w:vAlign w:val="center"/>
          </w:tcPr>
          <w:p w14:paraId="31F9CA88" w14:textId="77777777" w:rsidR="00AE6ED1" w:rsidRDefault="00AE6ED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C25166"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EA7D087"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79BDF56"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A5D8279"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EDCEA8F" w14:textId="77777777" w:rsidR="00AE6ED1"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E6ED1" w14:paraId="2D2D2B4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E53B54F" w14:textId="77777777" w:rsidR="00AE6ED1" w:rsidRDefault="00AE6ED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5A3A4C" w14:textId="77777777" w:rsidR="00AE6ED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67C17DF" w14:textId="77777777" w:rsidR="00AE6ED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9E073F0" w14:textId="77777777" w:rsidR="00AE6ED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1A5B686" w14:textId="77777777" w:rsidR="00AE6ED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2194E4C" w14:textId="77777777" w:rsidR="00AE6ED1"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E6ED1" w14:paraId="73BEF07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5EF2B8"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5A67ACB"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2BE2ECA"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747684A3"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论述正确清晰</w:t>
            </w:r>
          </w:p>
        </w:tc>
        <w:tc>
          <w:tcPr>
            <w:tcW w:w="1843" w:type="dxa"/>
            <w:tcBorders>
              <w:top w:val="single" w:sz="4" w:space="0" w:color="auto"/>
              <w:left w:val="single" w:sz="4" w:space="0" w:color="auto"/>
              <w:bottom w:val="single" w:sz="4" w:space="0" w:color="auto"/>
              <w:right w:val="single" w:sz="4" w:space="0" w:color="auto"/>
            </w:tcBorders>
          </w:tcPr>
          <w:p w14:paraId="2EF60FA5"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2B4F2D06"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w:t>
            </w:r>
          </w:p>
        </w:tc>
        <w:tc>
          <w:tcPr>
            <w:tcW w:w="1779" w:type="dxa"/>
            <w:tcBorders>
              <w:top w:val="single" w:sz="4" w:space="0" w:color="auto"/>
              <w:left w:val="single" w:sz="4" w:space="0" w:color="auto"/>
              <w:bottom w:val="single" w:sz="4" w:space="0" w:color="auto"/>
              <w:right w:val="single" w:sz="4" w:space="0" w:color="auto"/>
            </w:tcBorders>
          </w:tcPr>
          <w:p w14:paraId="7CA2813B"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论述不正确不清晰</w:t>
            </w:r>
          </w:p>
        </w:tc>
      </w:tr>
      <w:tr w:rsidR="00AE6ED1" w14:paraId="0A452EE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401E63"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4E0B156"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362411B"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3F6206DD"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论述正确清晰</w:t>
            </w:r>
          </w:p>
        </w:tc>
        <w:tc>
          <w:tcPr>
            <w:tcW w:w="1843" w:type="dxa"/>
            <w:tcBorders>
              <w:top w:val="single" w:sz="4" w:space="0" w:color="auto"/>
              <w:left w:val="single" w:sz="4" w:space="0" w:color="auto"/>
              <w:bottom w:val="single" w:sz="4" w:space="0" w:color="auto"/>
              <w:right w:val="single" w:sz="4" w:space="0" w:color="auto"/>
            </w:tcBorders>
          </w:tcPr>
          <w:p w14:paraId="48BC0690"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7F307458"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w:t>
            </w:r>
          </w:p>
        </w:tc>
        <w:tc>
          <w:tcPr>
            <w:tcW w:w="1779" w:type="dxa"/>
            <w:tcBorders>
              <w:top w:val="single" w:sz="4" w:space="0" w:color="auto"/>
              <w:left w:val="single" w:sz="4" w:space="0" w:color="auto"/>
              <w:bottom w:val="single" w:sz="4" w:space="0" w:color="auto"/>
              <w:right w:val="single" w:sz="4" w:space="0" w:color="auto"/>
            </w:tcBorders>
          </w:tcPr>
          <w:p w14:paraId="7BBAC211"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论述不正确不清晰</w:t>
            </w:r>
          </w:p>
        </w:tc>
      </w:tr>
      <w:tr w:rsidR="00AE6ED1" w14:paraId="117E342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24DE48"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8B14C73" w14:textId="77777777" w:rsidR="00AE6E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BDB5FC4"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4CE78BC1"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论述正确清晰</w:t>
            </w:r>
          </w:p>
        </w:tc>
        <w:tc>
          <w:tcPr>
            <w:tcW w:w="1843" w:type="dxa"/>
            <w:tcBorders>
              <w:top w:val="single" w:sz="4" w:space="0" w:color="auto"/>
              <w:left w:val="single" w:sz="4" w:space="0" w:color="auto"/>
              <w:bottom w:val="single" w:sz="4" w:space="0" w:color="auto"/>
              <w:right w:val="single" w:sz="4" w:space="0" w:color="auto"/>
            </w:tcBorders>
          </w:tcPr>
          <w:p w14:paraId="30FE4280"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066DE689"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w:t>
            </w:r>
          </w:p>
        </w:tc>
        <w:tc>
          <w:tcPr>
            <w:tcW w:w="1779" w:type="dxa"/>
            <w:tcBorders>
              <w:top w:val="single" w:sz="4" w:space="0" w:color="auto"/>
              <w:left w:val="single" w:sz="4" w:space="0" w:color="auto"/>
              <w:bottom w:val="single" w:sz="4" w:space="0" w:color="auto"/>
              <w:right w:val="single" w:sz="4" w:space="0" w:color="auto"/>
            </w:tcBorders>
          </w:tcPr>
          <w:p w14:paraId="26297A02"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论述不正确不清晰</w:t>
            </w:r>
          </w:p>
        </w:tc>
      </w:tr>
      <w:tr w:rsidR="00AE6ED1" w14:paraId="696CBB4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47DF71" w14:textId="77777777" w:rsidR="00AE6ED1" w:rsidRDefault="00000000">
            <w:pPr>
              <w:spacing w:beforeLines="50" w:before="156" w:afterLines="50" w:after="156"/>
              <w:jc w:val="center"/>
              <w:rPr>
                <w:rFonts w:ascii="宋体" w:eastAsia="宋体" w:hAnsi="宋体"/>
                <w:b/>
                <w:kern w:val="0"/>
                <w:szCs w:val="21"/>
              </w:rPr>
            </w:pPr>
            <w:r>
              <w:rPr>
                <w:rFonts w:ascii="宋体" w:eastAsia="宋体" w:hAnsi="宋体" w:hint="eastAsia"/>
                <w:b/>
                <w:kern w:val="0"/>
                <w:szCs w:val="21"/>
              </w:rPr>
              <w:t>课程</w:t>
            </w:r>
          </w:p>
          <w:p w14:paraId="115CBD83" w14:textId="77777777" w:rsidR="00AE6ED1" w:rsidRDefault="00000000">
            <w:pPr>
              <w:spacing w:beforeLines="50" w:before="156" w:afterLines="50" w:after="156"/>
              <w:jc w:val="center"/>
              <w:rPr>
                <w:rFonts w:ascii="宋体" w:eastAsia="宋体" w:hAnsi="宋体"/>
                <w:bCs/>
                <w:kern w:val="0"/>
                <w:szCs w:val="21"/>
              </w:rPr>
            </w:pPr>
            <w:r>
              <w:rPr>
                <w:rFonts w:ascii="宋体" w:eastAsia="宋体" w:hAnsi="宋体" w:hint="eastAsia"/>
                <w:b/>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63CD592E"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297A3E73"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论述正确清晰</w:t>
            </w:r>
          </w:p>
        </w:tc>
        <w:tc>
          <w:tcPr>
            <w:tcW w:w="1843" w:type="dxa"/>
            <w:tcBorders>
              <w:top w:val="single" w:sz="4" w:space="0" w:color="auto"/>
              <w:left w:val="single" w:sz="4" w:space="0" w:color="auto"/>
              <w:bottom w:val="single" w:sz="4" w:space="0" w:color="auto"/>
              <w:right w:val="single" w:sz="4" w:space="0" w:color="auto"/>
            </w:tcBorders>
          </w:tcPr>
          <w:p w14:paraId="5B887AE5"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0FB2F7EC"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论述正确不清晰</w:t>
            </w:r>
          </w:p>
        </w:tc>
        <w:tc>
          <w:tcPr>
            <w:tcW w:w="1779" w:type="dxa"/>
            <w:tcBorders>
              <w:top w:val="single" w:sz="4" w:space="0" w:color="auto"/>
              <w:left w:val="single" w:sz="4" w:space="0" w:color="auto"/>
              <w:bottom w:val="single" w:sz="4" w:space="0" w:color="auto"/>
              <w:right w:val="single" w:sz="4" w:space="0" w:color="auto"/>
            </w:tcBorders>
          </w:tcPr>
          <w:p w14:paraId="77826C92" w14:textId="77777777" w:rsidR="00AE6ED1" w:rsidRDefault="00000000">
            <w:pPr>
              <w:spacing w:beforeLines="50" w:before="156" w:afterLines="50" w:after="156"/>
              <w:rPr>
                <w:rFonts w:ascii="宋体" w:eastAsia="宋体" w:hAnsi="宋体"/>
                <w:szCs w:val="21"/>
              </w:rPr>
            </w:pPr>
            <w:r>
              <w:rPr>
                <w:rFonts w:ascii="宋体" w:eastAsia="宋体" w:hAnsi="宋体" w:hint="eastAsia"/>
                <w:szCs w:val="21"/>
              </w:rPr>
              <w:t>论述不正确不清晰</w:t>
            </w:r>
          </w:p>
        </w:tc>
      </w:tr>
    </w:tbl>
    <w:p w14:paraId="5C4AF7D7" w14:textId="77777777" w:rsidR="00AE6ED1" w:rsidRDefault="00AE6ED1">
      <w:pPr>
        <w:widowControl/>
        <w:jc w:val="left"/>
        <w:rPr>
          <w:rFonts w:ascii="宋体" w:eastAsia="宋体" w:hAnsi="宋体"/>
        </w:rPr>
      </w:pPr>
    </w:p>
    <w:sectPr w:rsidR="00AE6E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TimesNewRomanPSMT">
    <w:altName w:val="MS Gothic"/>
    <w:panose1 w:val="020B0604020202020204"/>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liYzc1NWE2OWI3ZDRjNGNhYTA4Nzg2ZWYxYjVmODAifQ=="/>
  </w:docVars>
  <w:rsids>
    <w:rsidRoot w:val="001E5724"/>
    <w:rsid w:val="00022CBB"/>
    <w:rsid w:val="00077A5F"/>
    <w:rsid w:val="000A400B"/>
    <w:rsid w:val="000F054A"/>
    <w:rsid w:val="001E5724"/>
    <w:rsid w:val="00242673"/>
    <w:rsid w:val="00285327"/>
    <w:rsid w:val="002A7568"/>
    <w:rsid w:val="00313A87"/>
    <w:rsid w:val="003206BD"/>
    <w:rsid w:val="00322986"/>
    <w:rsid w:val="0034254B"/>
    <w:rsid w:val="0038665C"/>
    <w:rsid w:val="004070CF"/>
    <w:rsid w:val="00443C38"/>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D7163"/>
    <w:rsid w:val="00A03BBD"/>
    <w:rsid w:val="00A61EFD"/>
    <w:rsid w:val="00AA4570"/>
    <w:rsid w:val="00AA630A"/>
    <w:rsid w:val="00AE3D1A"/>
    <w:rsid w:val="00AE6ED1"/>
    <w:rsid w:val="00B03909"/>
    <w:rsid w:val="00B10760"/>
    <w:rsid w:val="00B40ECD"/>
    <w:rsid w:val="00B47312"/>
    <w:rsid w:val="00BA23F0"/>
    <w:rsid w:val="00C00798"/>
    <w:rsid w:val="00C54636"/>
    <w:rsid w:val="00CA53B2"/>
    <w:rsid w:val="00D02F99"/>
    <w:rsid w:val="00D13271"/>
    <w:rsid w:val="00D14471"/>
    <w:rsid w:val="00D417A1"/>
    <w:rsid w:val="00D504B7"/>
    <w:rsid w:val="00D715F7"/>
    <w:rsid w:val="00DD15C1"/>
    <w:rsid w:val="00DD7B5F"/>
    <w:rsid w:val="00DE7849"/>
    <w:rsid w:val="00E05E8B"/>
    <w:rsid w:val="00E366AB"/>
    <w:rsid w:val="00E76E34"/>
    <w:rsid w:val="00ED7F81"/>
    <w:rsid w:val="00F56396"/>
    <w:rsid w:val="00FB77A1"/>
    <w:rsid w:val="00FC24B5"/>
    <w:rsid w:val="5A72761F"/>
    <w:rsid w:val="67281434"/>
    <w:rsid w:val="7AF01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C3670B4"/>
  <w15:docId w15:val="{7970DBC9-5FE5-7248-A2D6-01BEEA7F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autoRedefine/>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1935</Words>
  <Characters>2187</Characters>
  <Application>Microsoft Office Word</Application>
  <DocSecurity>0</DocSecurity>
  <Lines>81</Lines>
  <Paragraphs>46</Paragraphs>
  <ScaleCrop>false</ScaleCrop>
  <Company>P R C</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52</cp:revision>
  <cp:lastPrinted>2020-12-24T07:17:00Z</cp:lastPrinted>
  <dcterms:created xsi:type="dcterms:W3CDTF">2020-12-08T08:33:00Z</dcterms:created>
  <dcterms:modified xsi:type="dcterms:W3CDTF">2024-09-02T01:33:00Z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CB492CD9E7DD4532ADB3C4C372053EBF_13</vt:lpwstr>
  </property>
</Properties>
</file>